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8"/>
        <w:ind w:left="0" w:right="0" w:firstLine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71399" cy="1125315"/>
                <wp:effectExtent l="0" t="0" r="0" b="0"/>
                <wp:docPr id="1" name="Изображение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6625189" name="Изображение 7"/>
                        <pic:cNvPicPr/>
                        <pic:nvPr/>
                      </pic:nvPicPr>
                      <pic:blipFill>
                        <a:blip r:embed="rId13"/>
                        <a:srcRect l="23519" t="28558" r="19474" b="34151"/>
                        <a:stretch/>
                      </pic:blipFill>
                      <pic:spPr bwMode="auto">
                        <a:xfrm rot="0" flipH="0" flipV="0">
                          <a:off x="0" y="0"/>
                          <a:ext cx="5071398" cy="112531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9.32pt;height:88.6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1128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094" w:right="0" w:firstLine="0"/>
        <w:jc w:val="left"/>
        <w:spacing w:before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«УТВЕРЖДАЮ»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Председатель закупочной комиссии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АО «ДГК» 1-го уровня-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аместитель </w:t>
      </w:r>
      <w:r>
        <w:rPr>
          <w:sz w:val="26"/>
          <w:szCs w:val="26"/>
        </w:rPr>
        <w:t xml:space="preserve">г</w:t>
      </w:r>
      <w:r>
        <w:rPr>
          <w:sz w:val="26"/>
          <w:szCs w:val="26"/>
        </w:rPr>
        <w:t xml:space="preserve">енерального директора п</w:t>
      </w:r>
      <w:r>
        <w:rPr>
          <w:sz w:val="26"/>
          <w:szCs w:val="26"/>
        </w:rPr>
        <w:t xml:space="preserve">о управлению ресурсами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Д.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Богонатов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«_____» __________________2026г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28"/>
        <w:ind w:left="4536"/>
        <w:keepNext/>
      </w:pPr>
      <w:r/>
      <w:r/>
    </w:p>
    <w:p>
      <w:pPr>
        <w:pStyle w:val="1128"/>
      </w:pPr>
      <w:r/>
      <w:r/>
    </w:p>
    <w:p>
      <w:pPr>
        <w:pStyle w:val="1128"/>
      </w:pPr>
      <w:r/>
      <w:r/>
    </w:p>
    <w:p>
      <w:pPr>
        <w:pStyle w:val="1128"/>
      </w:pPr>
      <w:r/>
      <w:r/>
    </w:p>
    <w:p>
      <w:pPr>
        <w:pStyle w:val="1128"/>
      </w:pPr>
      <w:r/>
      <w:r/>
    </w:p>
    <w:p>
      <w:pPr>
        <w:pStyle w:val="1128"/>
      </w:pPr>
      <w:r/>
      <w:r/>
    </w:p>
    <w:p>
      <w:pPr>
        <w:pStyle w:val="1128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28"/>
        <w:jc w:val="center"/>
        <w:keepNext/>
        <w:spacing w:before="0" w:beforeAutospacing="0" w:line="240" w:lineRule="auto"/>
      </w:pPr>
      <w:r>
        <w:t xml:space="preserve">Аукцион в электронной форме, </w:t>
      </w:r>
      <w:r>
        <w:br/>
      </w:r>
      <w:r>
        <w:t xml:space="preserve">участниками которого могут быть только субъекты МСП,</w:t>
      </w:r>
      <w:r>
        <w:br/>
      </w:r>
      <w:r>
        <w:t xml:space="preserve">на право заключения договора на поставку (</w:t>
      </w:r>
      <w:r>
        <w:t xml:space="preserve">ОКПД2 26.40.33) оборудования и материалов технологического видеонаблюдения для распредустройств </w:t>
      </w:r>
      <w:r>
        <w:rPr>
          <w:rStyle w:val="1131"/>
        </w:rPr>
      </w:r>
      <w:r/>
    </w:p>
    <w:p>
      <w:pPr>
        <w:pStyle w:val="1128"/>
        <w:jc w:val="center"/>
        <w:keepNext/>
        <w:spacing w:before="0" w:beforeAutospacing="0" w:line="240" w:lineRule="auto"/>
      </w:pPr>
      <w:r>
        <w:t xml:space="preserve">и оперативного персонала для АО «ДГК» в Хабаровском крае, </w:t>
      </w:r>
      <w:r>
        <w:rPr>
          <w:rStyle w:val="1131"/>
        </w:rPr>
      </w:r>
      <w:r/>
    </w:p>
    <w:p>
      <w:pPr>
        <w:pStyle w:val="1128"/>
        <w:jc w:val="center"/>
        <w:keepNext/>
        <w:spacing w:before="0" w:beforeAutospacing="0" w:line="240" w:lineRule="auto"/>
        <w:rPr>
          <w:rStyle w:val="1131"/>
        </w:rPr>
      </w:pPr>
      <w:r>
        <w:t xml:space="preserve">Приморском крае, Амурской области, Респ. Саха (Якутия), ЕАО</w:t>
      </w:r>
      <w:r>
        <w:rPr>
          <w:rStyle w:val="1131"/>
        </w:rPr>
      </w:r>
      <w:r>
        <w:rPr>
          <w:rStyle w:val="1131"/>
        </w:rPr>
      </w:r>
    </w:p>
    <w:p>
      <w:pPr>
        <w:pStyle w:val="1128"/>
        <w:jc w:val="center"/>
        <w:keepNext/>
        <w:spacing w:before="240"/>
      </w:pPr>
      <w:r>
        <w:t xml:space="preserve">(Лот №</w:t>
      </w:r>
      <w:r>
        <w:t xml:space="preserve">32007031-ЭКСП ДИТ-2026-ДГК</w:t>
      </w:r>
      <w:r>
        <w:t xml:space="preserve">)</w:t>
      </w:r>
      <w:r/>
    </w:p>
    <w:p>
      <w:pPr>
        <w:pStyle w:val="1128"/>
        <w:keepNext/>
      </w:pPr>
      <w:r/>
      <w:r/>
    </w:p>
    <w:p>
      <w:pPr>
        <w:pStyle w:val="1128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  <w:outlineLvl w:val="2"/>
      </w:pPr>
      <w:r>
        <w:t xml:space="preserve">Содержание</w:t>
      </w:r>
      <w:r/>
    </w:p>
    <w:p>
      <w:pPr>
        <w:pStyle w:val="964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954"/>
          </w:rPr>
        </w:r>
        <w:r>
          <w:rPr>
            <w:rStyle w:val="954"/>
          </w:rPr>
          <w:t xml:space="preserve">Сокращения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964"/>
        <w:tabs>
          <w:tab w:val="right" w:pos="9923" w:leader="none"/>
        </w:tabs>
      </w:pPr>
      <w:r/>
      <w:hyperlink w:tooltip="#_Toc2" w:anchor="_Toc2" w:history="1">
        <w:r>
          <w:rPr>
            <w:rStyle w:val="954"/>
          </w:rPr>
        </w:r>
        <w:r>
          <w:rPr>
            <w:rStyle w:val="954"/>
          </w:rPr>
          <w:t xml:space="preserve">Термины и определения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Основные сведения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Статус настоящего раздела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Информация о проводимой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Общие положения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Общие сведения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Правовой статус документов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Обжалование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Особые положения при проведении закупки с использованием ЭП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Прочие положения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18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Требования к Участникам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19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Общие требования к Участникам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19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Генеральные подрядчики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19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Порядок проведения закупки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Общий порядок проведения закупки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Официальное размещение Извещения и Документации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23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Подготовка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23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Разъяснение Документации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Изменения Извещения и (или) Документации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Подача заявок и их прием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27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Изменение и отзыв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28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Открытие доступа к первым частям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28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Рассмотрение первых частей заявок (отборочная стадия)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29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Проведение аукциона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30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Открытие доступа ко вторым частям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31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Рассмотрение вторых частей заявок (отборочная стадия), в том числе (при необходимости) проведение аккредитации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Открытие доступа к ценовым предложениям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33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Рассмотрение ценовых предложений (отборочная стадия)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Дополнительные запросы разъяснений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34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Оценка и сопоставление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Применение законодательства о национальном режиме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Подведение итогов закупки (определение Победителя)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Признание закупки несостоявшейся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38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Отказ от проведения закупки</w:t>
        </w:r>
        <w:r>
          <w:rPr>
            <w:rStyle w:val="954"/>
          </w:rPr>
          <w:t xml:space="preserve"> (отмена закупки)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39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Особенности проведения закупки с необходимостью обеспечения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39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Особенности проведения многолотовой закупки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42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Порядок заключения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Общие положения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Заключение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Уклонение Победителя от заключения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46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1 – Технические требования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Техническим требованиям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47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2 – Проект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48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Проекту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48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3 – Требования к Участникам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требованиям к Участникам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Обязательные требования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49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Специальные требования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Дополнительные требования к Генеральным подрядчикам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52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4 – Образцы форм документов, включаемых в состав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Образцам форм документов, включаемых в состав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54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5 – Образцы форм документов, предоставляемых Победителем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55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Образцам форм документов, предоставляемых Победителем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Форма «Заверение об обстоятельствах»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55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6 – Состав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57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Состав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57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7 – Отборочные критерии рассмотрения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59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  <w:rPr>
          <w:rStyle w:val="1131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954"/>
          </w:rPr>
        </w:r>
        <w:r>
          <w:rPr>
            <w:rStyle w:val="954"/>
            <w:i w:val="0"/>
            <w:iCs w:val="0"/>
            <w:shd w:val="clear" w:color="auto" w:fill="auto"/>
          </w:rPr>
          <w:t xml:space="preserve">Отборочные критерии рассмотрения первых частей заявок</w:t>
        </w:r>
        <w:r>
          <w:rPr>
            <w:rStyle w:val="954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59</w:t>
          <w:fldChar w:fldCharType="end"/>
        </w:r>
      </w:hyperlink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968"/>
        <w:tabs>
          <w:tab w:val="left" w:pos="850" w:leader="none"/>
          <w:tab w:val="right" w:pos="9923" w:leader="none"/>
        </w:tabs>
        <w:rPr>
          <w:rStyle w:val="1131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954"/>
          </w:rPr>
        </w:r>
        <w:r>
          <w:rPr>
            <w:rStyle w:val="954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954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60</w:t>
          <w:fldChar w:fldCharType="end"/>
        </w:r>
      </w:hyperlink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968"/>
        <w:tabs>
          <w:tab w:val="left" w:pos="850" w:leader="none"/>
          <w:tab w:val="right" w:pos="9923" w:leader="none"/>
        </w:tabs>
        <w:rPr>
          <w:rStyle w:val="1131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954"/>
          </w:rPr>
        </w:r>
        <w:r>
          <w:rPr>
            <w:rStyle w:val="954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954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62</w:t>
          <w:fldChar w:fldCharType="end"/>
        </w:r>
      </w:hyperlink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968"/>
        <w:tabs>
          <w:tab w:val="left" w:pos="850" w:leader="none"/>
          <w:tab w:val="right" w:pos="9923" w:leader="none"/>
        </w:tabs>
        <w:rPr>
          <w:rStyle w:val="1131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954"/>
          </w:rPr>
        </w:r>
        <w:r>
          <w:rPr>
            <w:rStyle w:val="954"/>
            <w:i w:val="0"/>
            <w:iCs w:val="0"/>
            <w:shd w:val="clear" w:color="auto" w:fill="auto"/>
          </w:rPr>
          <w:t xml:space="preserve">Дополнительные критерии проверки заявок на соответствие условиям Документации о закупке</w:t>
        </w:r>
        <w:r>
          <w:rPr>
            <w:rStyle w:val="954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64</w:t>
          <w:fldChar w:fldCharType="end"/>
        </w:r>
      </w:hyperlink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8 – Порядок и критерии оценки и сопоставления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66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Порядок и критерии оценки и сопоставления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66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9 – Обоснование НМЦ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67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Обоснованию НМЦ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67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10 – Форма Заявки на аккредитацию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68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форме Заявки на аккредитацию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68</w:t>
          <w:fldChar w:fldCharType="end"/>
        </w:r>
      </w:hyperlink>
      <w:r/>
      <w:r/>
    </w:p>
    <w:p>
      <w:pPr>
        <w:pStyle w:val="1128"/>
      </w:pP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fldChar w:fldCharType="end"/>
      </w:r>
      <w:r/>
    </w:p>
    <w:p>
      <w:pPr>
        <w:pStyle w:val="1128"/>
        <w:keepNext/>
        <w:spacing w:before="60"/>
        <w:rPr>
          <w:rStyle w:val="1141"/>
        </w:rPr>
      </w:pPr>
      <w:r>
        <w:rPr>
          <w:rStyle w:val="1141"/>
        </w:rPr>
        <w:t xml:space="preserve">[Примечание (дополнительные удобства работы с Документацией о закупке; Microsoft Word | </w:t>
      </w:r>
      <w:r>
        <w:rPr>
          <w:rStyle w:val="1141"/>
          <w:color w:val="4472c4" w:themeColor="accent1"/>
          <w14:textFill>
            <w14:solidFill>
              <w14:schemeClr w14:val="accent1"/>
            </w14:solidFill>
          </w14:textFill>
        </w:rPr>
        <w:t xml:space="preserve">AlterOffice AText – отмечены отличая для данного текстового редактора</w:t>
      </w:r>
      <w:r>
        <w:rPr>
          <w:rStyle w:val="1141"/>
        </w:rPr>
        <w:t xml:space="preserve">):</w:t>
      </w:r>
      <w:r>
        <w:rPr>
          <w:rStyle w:val="1141"/>
        </w:rPr>
      </w:r>
      <w:r>
        <w:rPr>
          <w:rStyle w:val="1141"/>
        </w:rPr>
      </w:r>
    </w:p>
    <w:p>
      <w:pPr>
        <w:pStyle w:val="1128"/>
        <w:numPr>
          <w:ilvl w:val="0"/>
          <w:numId w:val="4"/>
        </w:numPr>
        <w:ind w:left="284" w:hanging="284"/>
        <w:spacing w:before="60"/>
        <w:rPr>
          <w:rStyle w:val="1141"/>
        </w:rPr>
      </w:pPr>
      <w:r>
        <w:rPr>
          <w:rStyle w:val="1141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 | </w:t>
      </w:r>
      <w:r>
        <w:rPr>
          <w:rStyle w:val="1141"/>
          <w:color w:val="4472c4" w:themeColor="accent1"/>
          <w14:textFill>
            <w14:solidFill>
              <w14:schemeClr w14:val="accent1"/>
            </w14:solidFill>
          </w14:textFill>
        </w:rPr>
        <w:t xml:space="preserve">включается на вкладке «Вид» опцией «Навигатор»</w:t>
      </w:r>
      <w:r>
        <w:rPr>
          <w:rStyle w:val="1141"/>
        </w:rPr>
        <w:t xml:space="preserve">;</w:t>
      </w:r>
      <w:r>
        <w:rPr>
          <w:rStyle w:val="1141"/>
        </w:rPr>
      </w:r>
      <w:r>
        <w:rPr>
          <w:rStyle w:val="1141"/>
        </w:rPr>
      </w:r>
    </w:p>
    <w:p>
      <w:pPr>
        <w:pStyle w:val="1128"/>
        <w:numPr>
          <w:ilvl w:val="0"/>
          <w:numId w:val="4"/>
        </w:numPr>
        <w:ind w:left="284" w:hanging="284"/>
        <w:spacing w:before="60"/>
        <w:rPr>
          <w:rStyle w:val="1141"/>
        </w:rPr>
      </w:pPr>
      <w:r>
        <w:rPr>
          <w:rStyle w:val="1141"/>
        </w:rPr>
        <w:t xml:space="preserve">переход по перекрестным и другим ссылкам осуществляется левым кликом мыши с</w:t>
      </w:r>
      <w:r>
        <w:rPr>
          <w:rStyle w:val="1141"/>
          <w:lang w:val="en-US"/>
        </w:rPr>
        <w:t xml:space="preserve"> </w:t>
      </w:r>
      <w:r>
        <w:rPr>
          <w:rStyle w:val="1141"/>
        </w:rPr>
        <w:t xml:space="preserve">зажатой клавишей Ctrl, обратный возврат на место в тексте, с которого был сделан переход, осуществляется нажатием стрелки влево (←) с зажатой левой клавишей Alt </w:t>
      </w:r>
      <w:r>
        <w:rPr>
          <w:rStyle w:val="1141"/>
          <w:color w:val="4472c4" w:themeColor="accent1"/>
          <w14:textFill>
            <w14:solidFill>
              <w14:schemeClr w14:val="accent1"/>
            </w14:solidFill>
          </w14:textFill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1"/>
        </w:rPr>
        <w:t xml:space="preserve">;</w:t>
      </w:r>
      <w:r>
        <w:rPr>
          <w:rStyle w:val="1141"/>
        </w:rPr>
      </w:r>
      <w:r>
        <w:rPr>
          <w:rStyle w:val="1141"/>
        </w:rPr>
      </w:r>
    </w:p>
    <w:p>
      <w:pPr>
        <w:pStyle w:val="1128"/>
        <w:numPr>
          <w:ilvl w:val="0"/>
          <w:numId w:val="4"/>
        </w:numPr>
        <w:ind w:left="284" w:hanging="284"/>
        <w:spacing w:before="60"/>
        <w:rPr>
          <w:rStyle w:val="1141"/>
        </w:rPr>
      </w:pPr>
      <w:r>
        <w:rPr>
          <w:rStyle w:val="1141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иконке документа (файла) в</w:t>
      </w:r>
      <w:r>
        <w:rPr>
          <w:rStyle w:val="1141"/>
          <w:lang w:val="en-US"/>
        </w:rPr>
        <w:t xml:space="preserve"> </w:t>
      </w:r>
      <w:r>
        <w:rPr>
          <w:rStyle w:val="1141"/>
        </w:rPr>
        <w:t xml:space="preserve">тексте;</w:t>
      </w:r>
      <w:r>
        <w:rPr>
          <w:rStyle w:val="1141"/>
        </w:rPr>
      </w:r>
      <w:r>
        <w:rPr>
          <w:rStyle w:val="1141"/>
        </w:rPr>
      </w:r>
    </w:p>
    <w:p>
      <w:pPr>
        <w:pStyle w:val="1128"/>
        <w:numPr>
          <w:ilvl w:val="0"/>
          <w:numId w:val="4"/>
        </w:numPr>
        <w:ind w:left="284" w:hanging="284"/>
        <w:spacing w:before="60"/>
        <w:rPr>
          <w:rStyle w:val="1141"/>
        </w:rPr>
      </w:pPr>
      <w:r>
        <w:rPr>
          <w:rStyle w:val="1141"/>
          <w:color w:val="4472c4" w:themeColor="accent1"/>
          <w14:textFill>
            <w14:solidFill>
              <w14:schemeClr w14:val="accent1"/>
            </w14:solidFill>
          </w14:textFill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1"/>
        </w:rPr>
        <w:t xml:space="preserve">.]</w:t>
      </w:r>
      <w:r>
        <w:rPr>
          <w:rStyle w:val="1141"/>
        </w:rPr>
      </w:r>
      <w:r>
        <w:rPr>
          <w:rStyle w:val="1141"/>
        </w:rPr>
      </w:r>
    </w:p>
    <w:p>
      <w:pPr>
        <w:pStyle w:val="1127"/>
        <w:outlineLvl w:val="0"/>
      </w:pPr>
      <w:r/>
      <w:bookmarkStart w:id="373" w:name="_Toc1"/>
      <w:r>
        <w:t xml:space="preserve">Сокращения</w:t>
      </w:r>
      <w:bookmarkEnd w:id="373"/>
      <w:r/>
      <w:r/>
    </w:p>
    <w:p>
      <w:pPr>
        <w:pStyle w:val="1128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28"/>
        <w:ind w:firstLine="567"/>
      </w:pPr>
      <w:r>
        <w:rPr>
          <w:b/>
          <w:bCs/>
        </w:rPr>
        <w:t xml:space="preserve">Декларация ПИРААП</w:t>
      </w:r>
      <w:r>
        <w:t xml:space="preserve"> – декларация о подтверждении использования при изготовлении продукции российского алюминия и (или) его полуфабрикатов с указанием их доли в общем объеме используемого алюминия и (или) его полуфабрикатов в натуральном выражении.</w:t>
      </w:r>
      <w:r/>
    </w:p>
    <w:p>
      <w:pPr>
        <w:pStyle w:val="1128"/>
        <w:ind w:firstLine="567"/>
      </w:pPr>
      <w:r>
        <w:rPr>
          <w:b/>
          <w:bCs/>
        </w:rPr>
        <w:t xml:space="preserve">ЕГРИП</w:t>
      </w:r>
      <w:r>
        <w:t xml:space="preserve"> – Единый государственный реестр индивидуальных предпринимателей.</w:t>
      </w:r>
      <w:r/>
    </w:p>
    <w:p>
      <w:pPr>
        <w:pStyle w:val="1128"/>
        <w:ind w:firstLine="567"/>
      </w:pPr>
      <w:r>
        <w:rPr>
          <w:b/>
          <w:bCs/>
        </w:rPr>
        <w:t xml:space="preserve">ЕГРЮЛ</w:t>
      </w:r>
      <w:r>
        <w:t xml:space="preserve"> – Единый государственный реестр юридических лиц.</w:t>
      </w:r>
      <w:r/>
    </w:p>
    <w:p>
      <w:pPr>
        <w:pStyle w:val="1128"/>
        <w:ind w:firstLine="567"/>
      </w:pPr>
      <w:r>
        <w:rPr>
          <w:b/>
          <w:bCs/>
        </w:rPr>
        <w:t xml:space="preserve">ЕИС</w:t>
      </w:r>
      <w:r>
        <w:t xml:space="preserve"> – Единая информационная система в сфере закупок.</w:t>
      </w:r>
      <w:r/>
    </w:p>
    <w:p>
      <w:pPr>
        <w:pStyle w:val="1128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 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28"/>
        <w:ind w:firstLine="567"/>
      </w:pPr>
      <w:r>
        <w:rPr>
          <w:b/>
          <w:bCs/>
        </w:rPr>
        <w:t xml:space="preserve">Закон 209-ФЗ</w:t>
      </w:r>
      <w:r>
        <w:t xml:space="preserve"> – Федеральный закон от 24.07.2007 № 209-ФЗ «О развитии малого и среднего предпринимательства в Российской Федерации».</w:t>
      </w:r>
      <w:r/>
    </w:p>
    <w:p>
      <w:pPr>
        <w:pStyle w:val="1128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 закупках товаров, работ, услуг отдельными видами юридических лиц».</w:t>
      </w:r>
      <w:r/>
    </w:p>
    <w:p>
      <w:pPr>
        <w:pStyle w:val="1128"/>
        <w:ind w:firstLine="567"/>
      </w:pPr>
      <w:r>
        <w:rPr>
          <w:b/>
          <w:bCs/>
        </w:rPr>
        <w:t xml:space="preserve">Закон 255-ФЗ</w:t>
      </w:r>
      <w:r>
        <w:t xml:space="preserve"> – Федеральный закон от 14.07.2022 № 255-ФЗ «О контроле за деятельностью лиц, находящихся под иностранным влиянием».</w:t>
      </w:r>
      <w:r/>
    </w:p>
    <w:p>
      <w:pPr>
        <w:pStyle w:val="1128"/>
        <w:ind w:firstLine="567"/>
      </w:pPr>
      <w:r>
        <w:rPr>
          <w:b/>
          <w:bCs/>
        </w:rPr>
        <w:t xml:space="preserve">Закон 422-ФЗ</w:t>
      </w:r>
      <w:r>
        <w:t xml:space="preserve"> – Федеральный закон от 27.11.2018 № 422-ФЗ «О проведении эксперимента по установлению специального налогового режима «Налог на профессиональный доход».</w:t>
      </w:r>
      <w:r/>
    </w:p>
    <w:p>
      <w:pPr>
        <w:pStyle w:val="1128"/>
        <w:ind w:firstLine="567"/>
      </w:pPr>
      <w:r>
        <w:rPr>
          <w:b/>
          <w:bCs/>
        </w:rPr>
        <w:t xml:space="preserve">Законодательство</w:t>
      </w:r>
      <w:r>
        <w:t xml:space="preserve"> – законодательство Российской Федерации (если в тексте настоящей Документации о закупке прямо не указано иное).</w:t>
      </w:r>
      <w:r/>
    </w:p>
    <w:p>
      <w:pPr>
        <w:pStyle w:val="1128"/>
        <w:ind w:firstLine="567"/>
      </w:pPr>
      <w:r>
        <w:rPr>
          <w:b/>
          <w:bCs/>
        </w:rPr>
        <w:t xml:space="preserve">Извещение</w:t>
      </w:r>
      <w:r>
        <w:t xml:space="preserve"> – извещение о проведении настоящей закупки.</w:t>
      </w:r>
      <w:r/>
    </w:p>
    <w:p>
      <w:pPr>
        <w:pStyle w:val="1128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28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28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28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28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28"/>
        <w:ind w:firstLine="567"/>
      </w:pPr>
      <w:r>
        <w:rPr>
          <w:b/>
          <w:bCs/>
        </w:rPr>
        <w:t xml:space="preserve">Оператор ЭП</w:t>
      </w:r>
      <w:r>
        <w:t xml:space="preserve"> – оператор электронной площадки.</w:t>
      </w:r>
      <w:r/>
    </w:p>
    <w:p>
      <w:pPr>
        <w:pStyle w:val="1128"/>
        <w:ind w:firstLine="567"/>
      </w:pPr>
      <w:r>
        <w:rPr>
          <w:b/>
          <w:bCs/>
        </w:rPr>
        <w:t xml:space="preserve">Официальный сайт</w:t>
      </w:r>
      <w:r>
        <w:t xml:space="preserve"> – официальный сайт Единой информационной системы в сфере закупок, расположенный в сети Интернет по </w:t>
      </w:r>
      <w:r>
        <w:rPr>
          <w:lang w:val="en-US"/>
        </w:rPr>
        <w:t xml:space="preserve">URL</w:t>
      </w:r>
      <w:r>
        <w:t xml:space="preserve">-адресу https://zakupki.gov.ru/.</w:t>
      </w:r>
      <w:r/>
    </w:p>
    <w:p>
      <w:pPr>
        <w:pStyle w:val="1128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28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(в составе Положения о закупке).</w:t>
      </w:r>
      <w:r/>
    </w:p>
    <w:p>
      <w:pPr>
        <w:pStyle w:val="1128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28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28"/>
        <w:ind w:firstLine="567"/>
      </w:pPr>
      <w:r>
        <w:rPr>
          <w:b/>
          <w:bCs/>
        </w:rPr>
        <w:t xml:space="preserve">ПП 1875</w:t>
      </w:r>
      <w:r>
        <w:t xml:space="preserve"> – постанов</w:t>
      </w:r>
      <w:r>
        <w:t xml:space="preserve">ление Правительства от 23.12.2024 № 1875 «О мерах по 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28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28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28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28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27"/>
        <w:outlineLvl w:val="0"/>
      </w:pPr>
      <w:r/>
      <w:bookmarkStart w:id="374" w:name="_Toc2"/>
      <w:r>
        <w:t xml:space="preserve">Термины и определения</w:t>
      </w:r>
      <w:bookmarkEnd w:id="374"/>
      <w:r/>
      <w:r/>
    </w:p>
    <w:p>
      <w:pPr>
        <w:pStyle w:val="1128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</w:t>
      </w:r>
      <w:r>
        <w:t xml:space="preserve">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с целью защиты интересов Заказчика от действий недобросовестных лиц и неблагонадежных поставщиков пр</w:t>
      </w:r>
      <w:r>
        <w:t xml:space="preserve">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 (-ов) по результатам закупки. Порядок проведения данной процедуры представлен в Положении об аккредитации.</w:t>
      </w:r>
      <w:r/>
    </w:p>
    <w:p>
      <w:pPr>
        <w:pStyle w:val="1128"/>
        <w:ind w:firstLine="567"/>
      </w:pPr>
      <w:r>
        <w:rPr>
          <w:b/>
          <w:bCs/>
        </w:rPr>
        <w:t xml:space="preserve">Актуализация статуса (аккредитации)</w:t>
      </w:r>
      <w:r>
        <w:t xml:space="preserve"> – 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</w:t>
      </w:r>
      <w:r>
        <w:t xml:space="preserve">личия оснований, по 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28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</w:t>
      </w:r>
      <w:r>
        <w:t xml:space="preserve">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 Документации о закупке; без указания сведений о ценовом предложении Участника).</w:t>
      </w:r>
      <w:r/>
    </w:p>
    <w:p>
      <w:pPr>
        <w:pStyle w:val="1128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 исполнению своих обяз</w:t>
      </w:r>
      <w:r>
        <w:t xml:space="preserve">ательств по договору с Заказчиком третьих лиц (субподрядчиков). Под генеральным подрядчиком и субподрядчиками понимаются соответственно также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28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28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28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реестр, являющийся официальным источником сведений о юридических лицах и об 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28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28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 требованиями законодательства, Положением о закупке, иными локальными нормативными документами (актами) Заказчика, а для конкурентно</w:t>
      </w:r>
      <w:r>
        <w:t xml:space="preserve">й закупки (и 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28"/>
        <w:ind w:firstLine="567"/>
      </w:pPr>
      <w:r>
        <w:rPr>
          <w:b/>
          <w:bCs/>
        </w:rPr>
        <w:t xml:space="preserve">Закупочная комиссия</w:t>
      </w:r>
      <w:r>
        <w:t xml:space="preserve"> – коллегиальный орган, принимающий решения о ходе проведения соответствующей закупки (в том числе по выбору ее победителя).</w:t>
      </w:r>
      <w:r/>
    </w:p>
    <w:p>
      <w:pPr>
        <w:pStyle w:val="1128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документ (комплект документов), содержащий предложения Участника, </w:t>
      </w:r>
      <w:r>
        <w:t xml:space="preserve">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 конкурентных закупок – в Извещении и (или) Документацией о закупке.</w:t>
      </w:r>
      <w:r/>
    </w:p>
    <w:p>
      <w:pPr>
        <w:pStyle w:val="1128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 установленном Положением об аккредитации порядке для прохождения аккредитации.</w:t>
      </w:r>
      <w:r/>
    </w:p>
    <w:p>
      <w:pPr>
        <w:pStyle w:val="1128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 потенциальных Участников, публикация (размещение) которого означает официальное объявление о начале закупки (информация в объеме, определенном частью 9 статьи 4 Зако</w:t>
      </w:r>
      <w:r>
        <w:t xml:space="preserve">на 223-ФЗ и Положением о закупке); под данным документом и соответственно его размещением также подразумевается заполнение и создание на Официальном сайте (ЕИС) и (или) ЭП соответствующей страницы на указанных ресурсах с информацией об объявленной закупке.</w:t>
      </w:r>
      <w:r/>
    </w:p>
    <w:p>
      <w:pPr>
        <w:pStyle w:val="1128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28"/>
        <w:ind w:firstLine="567"/>
      </w:pPr>
      <w:r>
        <w:rPr>
          <w:b/>
          <w:bCs/>
        </w:rPr>
        <w:t xml:space="preserve">Лот</w:t>
      </w:r>
      <w:r>
        <w:t xml:space="preserve"> – продукция, на которую в рамках закупки допускаются подача отдельного предложения и заключение отдельного договора.</w:t>
      </w:r>
      <w:r/>
    </w:p>
    <w:p>
      <w:pPr>
        <w:pStyle w:val="1128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</w:t>
      </w:r>
      <w:r>
        <w:t xml:space="preserve">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28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28"/>
        <w:ind w:firstLine="567"/>
      </w:pPr>
      <w:r>
        <w:rPr>
          <w:b/>
          <w:bCs/>
        </w:rPr>
        <w:t xml:space="preserve">Оператор электронной площадки</w:t>
      </w:r>
      <w:r>
        <w:t xml:space="preserve"> – 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28"/>
        <w:ind w:firstLine="567"/>
      </w:pPr>
      <w:r>
        <w:rPr>
          <w:b/>
          <w:bCs/>
        </w:rPr>
        <w:t xml:space="preserve">Организатор</w:t>
      </w:r>
      <w:r>
        <w:t xml:space="preserve"> – Заказчик или действующее по договору с ним юридическое лицо, выступающее Сторонним организатором закупки.</w:t>
      </w:r>
      <w:r/>
    </w:p>
    <w:p>
      <w:pPr>
        <w:pStyle w:val="1128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размещение информации о закупке в ЕИС, на Официальном сайте </w:t>
      </w:r>
      <w:bookmarkStart w:id="2" w:name="_Hlk149048701"/>
      <w:r>
        <w:t xml:space="preserve">(с размещением копий на ЭП)</w:t>
      </w:r>
      <w:bookmarkEnd w:id="2"/>
      <w:r>
        <w:t xml:space="preserve">. Если окончание срока размещения приходится на нерабочий день согласно законодательству, сведения размещаются в первый рабочий день, следующий за нерабочими днями.</w:t>
      </w:r>
      <w:r/>
    </w:p>
    <w:p>
      <w:pPr>
        <w:pStyle w:val="1128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 (или) о его ценовом предложении).</w:t>
      </w:r>
      <w:r/>
    </w:p>
    <w:p>
      <w:pPr>
        <w:pStyle w:val="1128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951"/>
        </w:rPr>
        <w:footnoteReference w:id="2"/>
      </w:r>
      <w:r>
        <w:t xml:space="preserve">. В </w:t>
      </w:r>
      <w:r>
        <w:t xml:space="preserve">случае признания закупки несостоявшейся Единственный участник такой закупки, с которым Заказчик принял решение заключить договор по результатам закупки, в оговоренных Положением о закупке случаях приобретает обязательства Победителя по заключению договора.</w:t>
      </w:r>
      <w:r/>
    </w:p>
    <w:p>
      <w:pPr>
        <w:pStyle w:val="1128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</w:t>
      </w:r>
      <w:r>
        <w:t xml:space="preserve">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28"/>
        <w:ind w:firstLine="567"/>
      </w:pPr>
      <w:r>
        <w:rPr>
          <w:b/>
          <w:bCs/>
        </w:rPr>
        <w:t xml:space="preserve">Предмет закупки / предмет договора</w:t>
      </w:r>
      <w:r>
        <w:t xml:space="preserve"> – конкретная продукция, которую предполагается закупить в объеме и на условиях, определенных Заказчиком.</w:t>
      </w:r>
      <w:r/>
    </w:p>
    <w:p>
      <w:pPr>
        <w:pStyle w:val="1128"/>
        <w:ind w:firstLine="567"/>
      </w:pPr>
      <w:r>
        <w:rPr>
          <w:b/>
          <w:bCs/>
        </w:rPr>
        <w:t xml:space="preserve">Преференция</w:t>
      </w:r>
      <w:r>
        <w:t xml:space="preserve"> – преимущество, которое Заказчик предоставляет определенным группам поставщиков при проведении закупок в соответствии с Единым Положением о закупке продукции для нужд Группы РусГидро.</w:t>
      </w:r>
      <w:r/>
    </w:p>
    <w:p>
      <w:pPr>
        <w:pStyle w:val="1128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</w:t>
      </w:r>
      <w:r>
        <w:t xml:space="preserve">иностранным юридическим лицом, равные условия с 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 соответствии с нормами, установленными законодательством.</w:t>
      </w:r>
      <w:r/>
    </w:p>
    <w:p>
      <w:pPr>
        <w:pStyle w:val="1128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Минцифры России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28"/>
        <w:ind w:firstLine="567"/>
      </w:pPr>
      <w:r>
        <w:rPr>
          <w:b/>
          <w:bCs/>
        </w:rPr>
        <w:t xml:space="preserve">Продукция</w:t>
      </w:r>
      <w:r>
        <w:t xml:space="preserve"> – 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услуг.</w:t>
      </w:r>
      <w:r/>
    </w:p>
    <w:p>
      <w:pPr>
        <w:pStyle w:val="1128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лиц – Заявителей, подававших Заявки на аккредитацию с указанием в отношении них результатов процедуры аккредитации.</w:t>
      </w:r>
      <w:r/>
    </w:p>
    <w:p>
      <w:pPr>
        <w:pStyle w:val="1128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Законом 20</w:t>
      </w:r>
      <w:r>
        <w:t xml:space="preserve">9-ФЗ. Все условия и требования данной Документации о закупке, относящиеся к субъектам МСП, распространяются также на физических лиц, не 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951"/>
        </w:rPr>
        <w:footnoteReference w:id="3"/>
      </w:r>
      <w:r>
        <w:t xml:space="preserve">, если иное не установлено в Документации о закупке.</w:t>
      </w:r>
      <w:r/>
    </w:p>
    <w:p>
      <w:pPr>
        <w:pStyle w:val="1128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28"/>
        <w:ind w:firstLine="567"/>
      </w:pPr>
      <w:r>
        <w:rPr>
          <w:b/>
          <w:bCs/>
        </w:rPr>
        <w:t xml:space="preserve">Участник</w:t>
      </w:r>
      <w:r>
        <w:t xml:space="preserve"> – любое юридическое лицо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</w:t>
      </w:r>
      <w:r>
        <w:t xml:space="preserve">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28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не входящих в состав заявки, но подаваемых в течение 1 (одного) рабочего дня после зав</w:t>
      </w:r>
      <w:r>
        <w:t xml:space="preserve">ершения процедуры аукциона и содержащих предложение Участника о цене Договора и (или) каждой единицы продукции, являющейся предметом Договора, и (или) формулу расчета цены Договора и (или) расходы на эксплуатацию и ремонт товаров, использование результатов</w:t>
      </w:r>
      <w:r>
        <w:t xml:space="preserve"> работ / услуг и (или) любые иные сведения / документы, требуемые в соответствии с Документацией о закупке и содержащие информацию о ценовых параметрах предложения Участника, в соответствии с заявленной им в ходе аукциона стоимости заявки (ценой Договора).</w:t>
      </w:r>
      <w:r/>
    </w:p>
    <w:p>
      <w:pPr>
        <w:pStyle w:val="1122"/>
      </w:pPr>
      <w:r/>
      <w:bookmarkStart w:id="375" w:name="_Toc3"/>
      <w:r/>
      <w:bookmarkStart w:id="3" w:name="_Ref125359988"/>
      <w:r>
        <w:t xml:space="preserve">Основные сведения о закупке</w:t>
      </w:r>
      <w:bookmarkEnd w:id="3"/>
      <w:r/>
      <w:bookmarkEnd w:id="375"/>
      <w:r/>
      <w:r/>
    </w:p>
    <w:p>
      <w:pPr>
        <w:pStyle w:val="1123"/>
      </w:pPr>
      <w:r/>
      <w:bookmarkStart w:id="376" w:name="_Toc4"/>
      <w:r>
        <w:t xml:space="preserve">Статус настоящего раздела</w:t>
      </w:r>
      <w:bookmarkEnd w:id="376"/>
      <w:r/>
      <w:r/>
    </w:p>
    <w:p>
      <w:pPr>
        <w:pStyle w:val="1124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24"/>
      </w:pPr>
      <w:r>
        <w:t xml:space="preserve">Здесь и далее все используемые ссылки относятся к соответств</w:t>
      </w:r>
      <w:r>
        <w:t xml:space="preserve">ующим пунктам, разделам и подразделам Документации о закупке, если прямо не указано иное; ссылки на приложения относятся к соответствующим приложениям к Документации о закупке, если прямо не указано иное. Ссылки на статьи, пункты и разделы, используемые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rPr>
          <w:rStyle w:val="1137"/>
        </w:rPr>
        <w:t xml:space="preserve">,</w:t>
      </w:r>
      <w:r>
        <w:t xml:space="preserve"> в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Проекте договора (Приложение № 2)</w:t>
      </w:r>
      <w:r>
        <w:rPr>
          <w:rStyle w:val="1137"/>
        </w:rPr>
        <w:fldChar w:fldCharType="end"/>
      </w:r>
      <w:r>
        <w:t xml:space="preserve"> и иных приложениях к Документации о закупке, относятся соответственно к статьям, пунктам и разделам этих приложений к Документации о закупке. Все приложения к Документации о закупке являются ее неотъемлемыми частями.</w:t>
      </w:r>
      <w:r/>
    </w:p>
    <w:p>
      <w:pPr>
        <w:pStyle w:val="1124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 о закупке.</w:t>
      </w:r>
      <w:r/>
    </w:p>
    <w:p>
      <w:pPr>
        <w:pStyle w:val="1123"/>
        <w:spacing w:after="120"/>
      </w:pPr>
      <w:r/>
      <w:bookmarkStart w:id="377" w:name="_Toc5"/>
      <w:r/>
      <w:bookmarkStart w:id="6" w:name="_Ref127270076"/>
      <w:r/>
      <w:bookmarkStart w:id="7" w:name="_Ref132876309"/>
      <w:r/>
      <w:bookmarkStart w:id="9" w:name="_Ref125359973"/>
      <w:r>
        <w:t xml:space="preserve">Информация о проводимой закупке</w:t>
      </w:r>
      <w:bookmarkEnd w:id="6"/>
      <w:r/>
      <w:bookmarkEnd w:id="7"/>
      <w:r/>
      <w:bookmarkEnd w:id="9"/>
      <w:r/>
      <w:bookmarkEnd w:id="377"/>
      <w:r/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2981"/>
        <w:gridCol w:w="601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 пункта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Содержание пункта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Способ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Аукцион в электронной форме, участниками которого могут быть только субъекты МСП.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Предмет Договора</w:t>
            </w:r>
            <w:r>
              <w:br/>
            </w:r>
            <w:r>
              <w:t xml:space="preserve">(в том числе номер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Лот 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32007031-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ЭКСП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 ДИТ-2026-ДГК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28"/>
              <w:spacing w:before="60" w:after="60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ОКПД2 26.40.33 Поставка оборудования и материалов технологического видеонаблюдения для распредустройств и оперативного персонала для АО «ДГК» в Хабаровском крае, Приморском крае, Амурской области, Респ. Саха (Якутия), ЕАО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Описание</w:t>
            </w:r>
            <w:r>
              <w:br/>
            </w:r>
            <w:r>
              <w:t xml:space="preserve">предмета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</w:t>
            </w:r>
            <w:r>
              <w:t xml:space="preserve">стики, а также эксплуатационные характеристики (при необходимости) предмета закупки, информация о количестве поставляемого товара, объема выполняемых работ, оказываемых услуг, а также место поставки товара, выполнения работы, оказания услуги, содержится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(Приложении № 1)</w:t>
            </w:r>
            <w:r>
              <w:rPr>
                <w:rStyle w:val="1137"/>
              </w:rP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Многолотовая закупка: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Наименование и адрес ЭП, на которой проводится закупка: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4" w:tooltip="https://msp.roseltorg.ru" w:history="1">
              <w:r>
                <w:rPr>
                  <w:rStyle w:val="954"/>
                </w:rPr>
                <w:t xml:space="preserve">https://msp.roseltorg.ru</w:t>
              </w:r>
            </w:hyperlink>
            <w:r/>
            <w:r/>
          </w:p>
          <w:p>
            <w:pPr>
              <w:pStyle w:val="1128"/>
            </w:pPr>
            <w:r>
              <w:t xml:space="preserve">Регламент ЭТП, в соответствии с которым проводится закупка, размещен по адресу: </w:t>
            </w:r>
            <w:hyperlink r:id="rId15" w:tooltip="https://www.roseltorg.ru/knowledge_db/docs?55" w:history="1">
              <w:r>
                <w:rPr>
                  <w:rStyle w:val="954"/>
                </w:rPr>
                <w:t xml:space="preserve">https://www.roseltorg.ru/knowledge_db/docs?55</w:t>
              </w:r>
            </w:hyperlink>
            <w:r>
              <w:t xml:space="preserve"> 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Участники: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Участвовать в закупке могут только субъекты МСП, а также физические лица, не являющихся индивидуальными предпринимателями и применяющих специальный налоговый режим «Налог на профессиональный доход».</w:t>
            </w:r>
            <w:r/>
          </w:p>
          <w:p>
            <w:pPr>
              <w:pStyle w:val="1128"/>
              <w:spacing w:before="60" w:after="60"/>
            </w:pPr>
            <w:r>
              <w:t xml:space="preserve">При этом Участник вправе привлекать субподрядчиков (соисполнителей), в том числе не являющихся субъектами МСП, а также указанными выше физическими лицами (в случае отсутствия в условиях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Проекта Договора (Приложение № 2)</w:t>
            </w:r>
            <w:r>
              <w:rPr>
                <w:rStyle w:val="1137"/>
              </w:rPr>
              <w:fldChar w:fldCharType="end"/>
            </w:r>
            <w:r>
              <w:t xml:space="preserve"> прямого запрета на привлечение к исполнению обязательств по Договору третьих лиц).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Заказчик: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                         </w:t>
            </w:r>
            <w:r>
              <w:rPr>
                <w:b w:val="0"/>
                <w:sz w:val="26"/>
                <w:szCs w:val="26"/>
              </w:rPr>
              <w:t xml:space="preserve">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6" w:tooltip="mailto:dgk@dgk.ru" w:history="1">
              <w:r>
                <w:rPr>
                  <w:rStyle w:val="954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rPr>
                <w:b/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26-43-63</w:t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Организатор: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                         </w:t>
            </w:r>
            <w:r>
              <w:rPr>
                <w:b w:val="0"/>
                <w:sz w:val="26"/>
                <w:szCs w:val="26"/>
              </w:rPr>
              <w:t xml:space="preserve">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 </w:t>
            </w:r>
            <w:r>
              <w:rPr>
                <w:b w:val="0"/>
                <w:sz w:val="26"/>
                <w:szCs w:val="26"/>
              </w:rPr>
              <w:t xml:space="preserve">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7" w:tooltip="mailto:malyutina-en@dgk.ru" w:history="1">
              <w:r>
                <w:rPr>
                  <w:rStyle w:val="954"/>
                  <w:b w:val="0"/>
                  <w:sz w:val="26"/>
                  <w:szCs w:val="26"/>
                </w:rPr>
                <w:t xml:space="preserve">malyutina-en@dgk.ru</w:t>
              </w:r>
            </w:hyperlink>
            <w:r>
              <w:rPr>
                <w:b w:val="0"/>
                <w:sz w:val="26"/>
                <w:szCs w:val="26"/>
              </w:rPr>
              <w:t xml:space="preserve">         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Представитель Организатора: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Контактное лицо (Ф. И. О.):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Малютина Екатерина Николаевна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  <w:spacing w:before="0" w:beforeAutospacing="0" w:after="0" w:afterAutospacing="0"/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8" w:tooltip="mailto:malyutina-en@dgk.ru" w:history="1">
              <w:r>
                <w:rPr>
                  <w:rStyle w:val="954"/>
                  <w:b w:val="0"/>
                  <w:sz w:val="26"/>
                  <w:szCs w:val="26"/>
                </w:rPr>
                <w:t xml:space="preserve">malyutina-en@dgk.ru</w:t>
              </w:r>
            </w:hyperlink>
            <w:r/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Официальный источник размещения информации о проведении закупки / срок, место и порядок предоставления Документации о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Документация о закупке официально размещена в ЕИС и доступна на Официальном сайте для ознакомления любым заинтересованным лицам. Официальным источником информации о ходе проведения закупки является Официальный сайт (zakupki.gov.ru).</w:t>
            </w:r>
            <w:r/>
          </w:p>
          <w:p>
            <w:pPr>
              <w:pStyle w:val="1128"/>
              <w:spacing w:before="60" w:after="60"/>
            </w:pPr>
            <w:r>
              <w:t xml:space="preserve">Документация о закупке доступна (без взимания платы) в форме электронного документа в любое время с момента официального размещения Извещения. Предоставление Документации о закупке на бумажном носителе не 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размещения Извещения о проведении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«24» марта 2026 г.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Начальная (максимальная) цена договора (цена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23 619 000,00</w:t>
            </w:r>
            <w:r>
              <w:t xml:space="preserve"> руб., без учета НДС.</w:t>
            </w:r>
            <w:r/>
          </w:p>
          <w:p>
            <w:pPr>
              <w:pStyle w:val="1128"/>
              <w:spacing w:before="60" w:after="60"/>
            </w:pPr>
            <w:r>
              <w:t xml:space="preserve">Сведения о начальной (максимальной) цене единицы продукции, необходимые для применения законодательства о национальном режиме (представлена в форме Коммерческого предложения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)).</w:t>
            </w:r>
            <w:r/>
          </w:p>
          <w:p>
            <w:pPr>
              <w:pStyle w:val="1128"/>
              <w:spacing w:before="60" w:after="60"/>
            </w:pPr>
            <w:r>
              <w:t xml:space="preserve">Обоснование НМЦ представлено в </w:t>
            </w:r>
            <w:r>
              <w:fldChar w:fldCharType="begin"/>
            </w:r>
            <w:r>
              <w:instrText xml:space="preserve"> HYPERLINK \l "Прил09_ОбоснованиеНМЦ" \o "#Прил09_ОбоснованиеНМЦ"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Приложении № 9</w:t>
            </w:r>
            <w:r>
              <w:rPr>
                <w:rStyle w:val="1137"/>
              </w:rPr>
              <w:fldChar w:fldCharType="end"/>
            </w:r>
            <w:r>
              <w:t xml:space="preserve">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Шаг аукциона: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0,5% – 5,0% от НМЦ, что составляет:</w:t>
            </w:r>
            <w:r/>
          </w:p>
          <w:p>
            <w:pPr>
              <w:pStyle w:val="1128"/>
              <w:spacing w:before="60" w:after="60"/>
            </w:pPr>
            <w:r>
              <w:t xml:space="preserve">118 095,00 руб. – 1 180 950,00 руб., без учета НДС.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Обеспечение заявки на участие в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Требуется.</w:t>
            </w:r>
            <w:r/>
          </w:p>
          <w:p>
            <w:pPr>
              <w:pStyle w:val="1128"/>
              <w:spacing w:before="60" w:after="60"/>
              <w:rPr>
                <w14:ligatures w14:val="none"/>
              </w:rPr>
            </w:pPr>
            <w:r>
              <w:t xml:space="preserve">Раз</w:t>
            </w:r>
            <w:r>
              <w:t xml:space="preserve">мер обеспечения заявок: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28"/>
              <w:spacing w:before="60" w:after="60"/>
            </w:pPr>
            <w:r>
              <w:t xml:space="preserve">242 996,91 (двести сорок две тысячи девятьсот девяносто шесть</w:t>
            </w:r>
            <w:r>
              <w:t xml:space="preserve">) рублей 91  копейка, НДС не облагается.</w:t>
            </w:r>
            <w:r>
              <w:rPr>
                <w:rStyle w:val="1131"/>
              </w:rPr>
            </w:r>
            <w:r/>
          </w:p>
          <w:p>
            <w:pPr>
              <w:pStyle w:val="1128"/>
              <w:spacing w:before="60" w:after="60"/>
            </w:pPr>
            <w:r>
              <w:t xml:space="preserve">Допустимые формы обеспечения заявок:</w:t>
            </w:r>
            <w:r/>
          </w:p>
          <w:p>
            <w:pPr>
              <w:pStyle w:val="1128"/>
              <w:numPr>
                <w:ilvl w:val="0"/>
                <w:numId w:val="20"/>
              </w:numPr>
              <w:spacing w:before="60" w:after="60"/>
            </w:pPr>
            <w:r>
              <w:t xml:space="preserve">внесение денежных средств на специальный банковский счет, открытый Участником в банке, включенном в перечень, определенный Правительством Российской Федерации в соответствии с Законом 44-ФЗ;</w:t>
            </w:r>
            <w:r/>
          </w:p>
          <w:p>
            <w:pPr>
              <w:pStyle w:val="1128"/>
              <w:numPr>
                <w:ilvl w:val="0"/>
                <w:numId w:val="20"/>
              </w:numPr>
              <w:spacing w:before="60" w:after="60"/>
            </w:pPr>
            <w:r>
              <w:t xml:space="preserve">предоставление независимой гарантии,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28"/>
              <w:spacing w:before="60" w:after="60"/>
              <w:rPr>
                <w:rStyle w:val="1131"/>
                <w:i w:val="0"/>
                <w:iCs w:val="0"/>
                <w:shd w:val="clear" w:color="auto" w:fill="auto"/>
              </w:rPr>
            </w:pPr>
            <w:r>
              <w:rPr>
                <w:rStyle w:val="1131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 числа указанных осуществляется Участником самостоятельно.</w:t>
            </w:r>
            <w:r>
              <w:rPr>
                <w:rStyle w:val="1131"/>
                <w:i w:val="0"/>
                <w:iCs w:val="0"/>
                <w:shd w:val="clear" w:color="auto" w:fill="auto"/>
              </w:rPr>
            </w:r>
            <w:r>
              <w:rPr>
                <w:rStyle w:val="1131"/>
                <w:i w:val="0"/>
                <w:iCs w:val="0"/>
                <w:shd w:val="clear" w:color="auto" w:fill="auto"/>
              </w:rPr>
            </w:r>
          </w:p>
          <w:p>
            <w:pPr>
              <w:pStyle w:val="1128"/>
              <w:spacing w:before="60" w:after="60"/>
              <w:rPr>
                <w:rStyle w:val="1131"/>
              </w:rPr>
            </w:pPr>
            <w:r>
              <w:rPr>
                <w:rStyle w:val="1131"/>
                <w:i w:val="0"/>
                <w:iCs w:val="0"/>
                <w:shd w:val="clear" w:color="auto" w:fill="auto"/>
              </w:rPr>
              <w:t xml:space="preserve">Банковские реквизиты Заказчика (для перечисления Банком-гарантом суммы обеспечения заявок в случае нарушения Участником своих обязательств, связанных с участием в закупке):</w:t>
            </w:r>
            <w:r>
              <w:rPr>
                <w:rStyle w:val="1131"/>
              </w:rPr>
            </w:r>
            <w:r>
              <w:rPr>
                <w:rStyle w:val="1131"/>
              </w:rPr>
            </w:r>
          </w:p>
          <w:p>
            <w:pPr>
              <w:pStyle w:val="1128"/>
              <w:ind w:left="709" w:right="0" w:firstLine="0"/>
              <w:spacing w:before="0" w:beforeAutospacing="0" w:after="0" w:afterAutospacing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ИНН 1434031363 КПП 997650001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К/с 30101810600000000608</w:t>
            </w:r>
            <w:r/>
          </w:p>
          <w:p>
            <w:pPr>
              <w:pStyle w:val="1128"/>
              <w:ind w:left="709" w:right="0" w:firstLine="0"/>
              <w:spacing w:before="0" w:beforeAutospacing="0" w:after="0" w:afterAutospacing="0"/>
            </w:pPr>
            <w:r>
              <w:t xml:space="preserve">БИК 040813608</w:t>
            </w:r>
            <w:r/>
          </w:p>
          <w:p>
            <w:pPr>
              <w:pStyle w:val="1128"/>
              <w:spacing w:before="60" w:after="60"/>
              <w:rPr>
                <w:rStyle w:val="1131"/>
                <w:i w:val="0"/>
                <w:iCs w:val="0"/>
                <w:shd w:val="clear" w:color="auto" w:fill="auto"/>
              </w:rPr>
            </w:pPr>
            <w:r>
              <w:rPr>
                <w:rStyle w:val="1131"/>
                <w:b/>
                <w:bCs/>
                <w:i w:val="0"/>
                <w:iCs w:val="0"/>
                <w:shd w:val="clear" w:color="auto" w:fill="auto"/>
              </w:rPr>
              <w:t xml:space="preserve">Внимание</w:t>
            </w:r>
            <w:r>
              <w:rPr>
                <w:rStyle w:val="1131"/>
                <w:b/>
                <w:bCs/>
                <w:i w:val="0"/>
                <w:iCs w:val="0"/>
                <w:shd w:val="clear" w:color="auto" w:fill="auto"/>
              </w:rPr>
              <w:t xml:space="preserve">! </w:t>
            </w:r>
            <w:r>
              <w:rPr>
                <w:rStyle w:val="1131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Оператором ЭП, должна быть внесена сумма в размере не менее установленной платы в соответствии с тарифами Оператора ЭП.</w:t>
            </w:r>
            <w:r>
              <w:rPr>
                <w:rStyle w:val="1131"/>
                <w:i w:val="0"/>
                <w:iCs w:val="0"/>
                <w:shd w:val="clear" w:color="auto" w:fill="auto"/>
              </w:rPr>
            </w:r>
            <w:r>
              <w:rPr>
                <w:rStyle w:val="1131"/>
                <w:i w:val="0"/>
                <w:iCs w:val="0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Требования</w:t>
            </w:r>
            <w:r>
              <w:br/>
            </w:r>
            <w:r>
              <w:t xml:space="preserve">к описанию продукции: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 параметрам эквивалентности, указанным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, – по установленной форме Технического предложения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Применение законодательства о национальном режиме: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Установлен режим ограничения закупки иностранной продукции (когда национальный режим не предоставляется)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Место и порядок</w:t>
            </w:r>
            <w:r>
              <w:br/>
            </w:r>
            <w:r>
              <w:t xml:space="preserve">подачи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Заявки подаются посредством функционала ЭП, по адресу ЭП, указанному в пункте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28"/>
              <w:spacing w:before="60" w:after="60"/>
            </w:pPr>
            <w:r>
              <w:t xml:space="preserve">Заявка должна состоять из двух частей. Порядок подачи ценового предложения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начала; дата и время окончания срока подачи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Дата начала подачи заявок: </w:t>
            </w:r>
            <w:r>
              <w:t xml:space="preserve">«24» марта 2026 г.</w:t>
            </w:r>
            <w:r>
              <w:rPr>
                <w:rStyle w:val="1131"/>
              </w:rPr>
            </w:r>
            <w:r/>
          </w:p>
          <w:p>
            <w:pPr>
              <w:pStyle w:val="1128"/>
              <w:spacing w:before="0" w:beforeAutospacing="0" w:after="0" w:afterAutospacing="0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28"/>
              <w:spacing w:before="0" w:beforeAutospacing="0" w:after="0" w:afterAutospacing="0"/>
            </w:pPr>
            <w:r>
              <w:rPr>
                <w:b/>
                <w:bCs/>
              </w:rPr>
              <w:t xml:space="preserve">«06» апреля 2026 г. в 10 ч. 00 мин.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Срок предоставления Участникам разъяснений Документации о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Дата и время окончания срока предоставления разъяснений: </w:t>
            </w:r>
            <w:r>
              <w:t xml:space="preserve">«06» апреля 2026 г. в 10 ч. 00 мин. </w:t>
            </w:r>
            <w:r>
              <w:t xml:space="preserve">(по московскому времени).</w:t>
            </w:r>
            <w:r/>
          </w:p>
          <w:p>
            <w:pPr>
              <w:pStyle w:val="1128"/>
              <w:spacing w:before="60" w:after="60"/>
            </w:pPr>
            <w:r>
              <w:t xml:space="preserve">Организатор вправе не предоставлять разъяснение если запрос от Участника поступил позднее чем за 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Место открытия</w:t>
            </w:r>
            <w:r>
              <w:br/>
            </w:r>
            <w:r>
              <w:t xml:space="preserve">доступа к заявкам: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Открытие доступа к заявкам осуществляется автоматически на ЭП, расположенной по адресу согласно пункту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окончания рассмотрения первых частей заявок:</w:t>
            </w:r>
            <w:r/>
          </w:p>
        </w:tc>
        <w:tc>
          <w:tcPr>
            <w:tcW w:w="6010" w:type="dxa"/>
            <w:vAlign w:val="center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«14» апреля 2026 г.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и время</w:t>
            </w:r>
            <w:r>
              <w:br/>
            </w:r>
            <w:r>
              <w:t xml:space="preserve">проведения аукциона: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«16» апреля 2026 г. в 10 ч. 00 мин. (если иное время не установлено Оператором ЭП в автоматическом режиме)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Срок направления Оператором ЭП вторых частей заявок в адрес Организатора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 позднее 1 (одного) рабочего дня, следующего за днем окончания процедуры аукциона (подачи Участниками ценовых предложений).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окончания рассмотрения вторых частей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«27» апреля 2026 г.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«28» апреля 2026 г.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Преференция продукции, изготовленной с использованием российского алюминия и (или) алюминиевых полуфабрикатов: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 предоставляется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Рассмотрение, оценка и сопоставление заявок Участников с учетом привлекаемых субподрядчиков: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 предусмотрено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Количество победителей закупки (в рамках одного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Один победитель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Место подачи документов в отношении цепочки собственников, включая конечных бенефициаров: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Style w:val="1131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Почтовый адрес: 680000, г. Хабаровск,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</w:p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Фрунзе, 49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Контактное лицо для приема документов (ФИО):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Коноваленко Марина Сергеевна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hyperlink r:id="rId19" w:tooltip="http://kilina-ns@dgk.ru" w:history="1">
              <w:r>
                <w:rPr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6"/>
                  <w:szCs w:val="26"/>
                </w:rPr>
              </w:r>
              <w:r>
                <w:rPr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6"/>
                  <w:szCs w:val="26"/>
                </w:rPr>
                <w:t xml:space="preserve">konovalenko-ms@dgk.ru</w:t>
              </w:r>
              <w:r>
                <w:rPr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6"/>
                  <w:szCs w:val="26"/>
                </w:rPr>
              </w:r>
              <w:r>
                <w:rPr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6"/>
                  <w:szCs w:val="26"/>
                </w:rPr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r>
          </w:p>
          <w:p>
            <w:pPr>
              <w:pStyle w:val="1152"/>
              <w:spacing w:before="0"/>
              <w:widowControl w:val="off"/>
              <w:rPr>
                <w:rStyle w:val="113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Контактный телефон: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(4212)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26-43-71</w:t>
            </w:r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Некритичные пункты Проекта договора: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Отсутствуют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Обеспечение</w:t>
            </w:r>
            <w:r>
              <w:br/>
            </w:r>
            <w:r>
              <w:t xml:space="preserve">исполнения Договора: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 требуется</w:t>
            </w:r>
            <w:r>
              <w:rPr>
                <w:szCs w:val="26"/>
              </w:rPr>
            </w:r>
            <w:r/>
          </w:p>
        </w:tc>
      </w:tr>
    </w:tbl>
    <w:p>
      <w:pPr>
        <w:pStyle w:val="1122"/>
      </w:pPr>
      <w:r/>
      <w:bookmarkStart w:id="378" w:name="_Toc6"/>
      <w:r/>
      <w:bookmarkStart w:id="35" w:name="_Ref125360073"/>
      <w:r/>
      <w:bookmarkStart w:id="37" w:name="_Ref125360337"/>
      <w:r>
        <w:t xml:space="preserve">Общие положения</w:t>
      </w:r>
      <w:bookmarkEnd w:id="35"/>
      <w:r/>
      <w:bookmarkEnd w:id="37"/>
      <w:r/>
      <w:bookmarkEnd w:id="378"/>
      <w:r/>
      <w:r/>
    </w:p>
    <w:p>
      <w:pPr>
        <w:pStyle w:val="1123"/>
      </w:pPr>
      <w:r/>
      <w:bookmarkStart w:id="379" w:name="_Toc7"/>
      <w:r>
        <w:t xml:space="preserve">Общие сведения о закупке</w:t>
      </w:r>
      <w:bookmarkEnd w:id="379"/>
      <w:r/>
      <w:r/>
    </w:p>
    <w:p>
      <w:pPr>
        <w:pStyle w:val="1124"/>
      </w:pPr>
      <w:r>
        <w:t xml:space="preserve">Организатор официально размещенным Извещением приглашает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подразделе.</w:t>
      </w:r>
      <w:r/>
    </w:p>
    <w:p>
      <w:pPr>
        <w:pStyle w:val="1124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24"/>
      </w:pPr>
      <w:r>
        <w:t xml:space="preserve">Требования к поставляемой продукции, включая срок, объем и место поставки продукции, изложены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t xml:space="preserve">.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 договора</w:t>
      </w:r>
      <w:r>
        <w:rPr>
          <w:rStyle w:val="1137"/>
        </w:rPr>
        <w:fldChar w:fldCharType="end"/>
      </w:r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 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Приложении № 2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>
        <w:t xml:space="preserve">Подробная информация о порядке проведения закупки и участия в ней, а также о порядке заключения Договора,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в Приложениях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№ 4</w:t>
      </w:r>
      <w:r>
        <w:rPr>
          <w:rStyle w:val="1137"/>
        </w:rPr>
        <w:fldChar w:fldCharType="end"/>
      </w:r>
      <w:r>
        <w:t xml:space="preserve">,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№ 5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3"/>
      </w:pPr>
      <w:r/>
      <w:bookmarkStart w:id="380" w:name="_Toc8"/>
      <w:r>
        <w:t xml:space="preserve">Правовой статус документов</w:t>
      </w:r>
      <w:bookmarkEnd w:id="380"/>
      <w:r/>
      <w:r/>
    </w:p>
    <w:p>
      <w:pPr>
        <w:pStyle w:val="1124"/>
      </w:pPr>
      <w:r>
        <w:t xml:space="preserve">Документация о закупке вместе с Извещением, являющимся ее неотъемлемой частью, являются публичной </w:t>
      </w:r>
      <w:r>
        <w:t xml:space="preserve">офертой Организатора в соответствии со статьей 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24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24"/>
        <w:keepNext/>
      </w:pPr>
      <w:r/>
      <w:bookmarkStart w:id="40" w:name="_Ref125366985"/>
      <w:r>
        <w:t xml:space="preserve">При определении условий Договора по результатам закупки используется 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5.5.25.2.8</w:t>
      </w:r>
      <w:r>
        <w:fldChar w:fldCharType="end"/>
      </w:r>
      <w:bookmarkEnd w:id="40"/>
      <w:r>
        <w:t xml:space="preserve">.</w:t>
      </w:r>
      <w:r/>
    </w:p>
    <w:p>
      <w:pPr>
        <w:pStyle w:val="1124"/>
      </w:pPr>
      <w:r>
        <w:t xml:space="preserve">Заключенный по результатам закупки Договор, в том числе, фиксирует все достигнутые сторонами договоренности.</w:t>
      </w:r>
      <w:r/>
    </w:p>
    <w:p>
      <w:pPr>
        <w:pStyle w:val="1124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 редакции, действующей на дату официального размещения Извещения).</w:t>
      </w:r>
      <w:r/>
    </w:p>
    <w:p>
      <w:pPr>
        <w:pStyle w:val="1124"/>
      </w:pPr>
      <w:r>
        <w:t xml:space="preserve">Если в отношении сторон Договора, заключаемо</w:t>
      </w:r>
      <w:r>
        <w:t xml:space="preserve">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 диспозитивным нормам указанных документов.</w:t>
      </w:r>
      <w:r/>
    </w:p>
    <w:p>
      <w:pPr>
        <w:pStyle w:val="1124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24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комиссии и иных работников Заказчика и Организатора относительно </w:t>
      </w:r>
      <w:r>
        <w:t xml:space="preserve">условий, сроков проведения, предмета настоящей закупки (за исключением информации, представляемой Участникам в соответствии с Положением о закупке),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23"/>
      </w:pPr>
      <w:r/>
      <w:bookmarkStart w:id="381" w:name="_Toc9"/>
      <w:r/>
      <w:bookmarkStart w:id="42" w:name="_Ref125363536"/>
      <w:r>
        <w:t xml:space="preserve">Обжалование</w:t>
      </w:r>
      <w:bookmarkEnd w:id="42"/>
      <w:r/>
      <w:bookmarkEnd w:id="381"/>
      <w:r/>
      <w:r/>
    </w:p>
    <w:p>
      <w:pPr>
        <w:pStyle w:val="1124"/>
      </w:pPr>
      <w:r>
        <w:t xml:space="preserve">Любой Участник, который за</w:t>
      </w:r>
      <w:r>
        <w:t xml:space="preserve">являет, что понес или может понести убытки в результате нарушения его прав Заказчиком и (или) Организатором, отдельными членами Закупочной комиссии или Оператором ЭП, имеет право подать заявление о рассмотрении разногласий, связанных с проведением закупки.</w:t>
      </w:r>
      <w:r/>
    </w:p>
    <w:p>
      <w:pPr>
        <w:pStyle w:val="1124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 «РусГидро» (вкладка «Линия довер</w:t>
      </w:r>
      <w:r>
        <w:t xml:space="preserve">ия»), или сообщения информации по 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24"/>
        <w:keepNext/>
      </w:pPr>
      <w:r>
        <w:t xml:space="preserve">Если разногласия не разрешены по взаимному согласию представившего их Участника и Заказчика, может быть принято одно из следующих решений:</w:t>
      </w:r>
      <w:r/>
    </w:p>
    <w:p>
      <w:pPr>
        <w:pStyle w:val="1125"/>
      </w:pPr>
      <w:r>
        <w:t xml:space="preserve">обязать Заказчика, Организатора, членов Закупочной комиссии, совершивших неправомерные действия, применивших н</w:t>
      </w:r>
      <w:r>
        <w:t xml:space="preserve">еправомерные процедуры либо принявших незаконное решение, совершить действия, соответствующие законодательству и Положению о закупке (в том числе, но не ограничиваясь, отменить составленные в ходе закупки протоколы, повторно рассмотреть заявки Участников);</w:t>
      </w:r>
      <w:r/>
    </w:p>
    <w:p>
      <w:pPr>
        <w:pStyle w:val="1125"/>
      </w:pPr>
      <w:r>
        <w:t xml:space="preserve">признать заявление Участника необоснованным.</w:t>
      </w:r>
      <w:r/>
    </w:p>
    <w:p>
      <w:pPr>
        <w:pStyle w:val="1124"/>
      </w:pPr>
      <w:r>
        <w:t xml:space="preserve">Участник вправе обжаловать действия (бездействие) Заказчика и (или) Орган</w:t>
      </w:r>
      <w:r>
        <w:t xml:space="preserve">изатора, Закупочной комиссии, Оператора ЭП при проведении настоящей закупки в антимонопольном органе в порядке, установленном законодательством. Если обжалуемые действия (бездействие) совершены после окончания установленного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 такой закупке.</w:t>
      </w:r>
      <w:r/>
    </w:p>
    <w:p>
      <w:pPr>
        <w:pStyle w:val="1124"/>
      </w:pPr>
      <w:r>
        <w:t xml:space="preserve">Все споры и разногласия, возни</w:t>
      </w:r>
      <w:r>
        <w:t xml:space="preserve">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на «Линию доверия» и (или) антимонопольные органы, подлежат разрешению следующим образом:</w:t>
      </w:r>
      <w:r/>
    </w:p>
    <w:p>
      <w:pPr>
        <w:pStyle w:val="1125"/>
      </w:pPr>
      <w:r>
        <w:t xml:space="preserve">по закупкам, проводимым закупочными комиссиями 1-го уровня – в 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25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 «РусГидро» – в Арбитражном суде г. Москвы.</w:t>
      </w:r>
      <w:r/>
    </w:p>
    <w:p>
      <w:pPr>
        <w:pStyle w:val="1128"/>
        <w:ind w:left="1134"/>
      </w:pPr>
      <w:r>
        <w:t xml:space="preserve">Закупочная комиссия определяется в соответствии с Положением о закупке.</w:t>
      </w:r>
      <w:r/>
    </w:p>
    <w:p>
      <w:pPr>
        <w:pStyle w:val="1123"/>
      </w:pPr>
      <w:r/>
      <w:bookmarkStart w:id="382" w:name="_Toc10"/>
      <w:r>
        <w:t xml:space="preserve">Особые положения при проведении закупки с использованием ЭП</w:t>
      </w:r>
      <w:bookmarkEnd w:id="382"/>
      <w:r/>
      <w:r/>
    </w:p>
    <w:p>
      <w:pPr>
        <w:pStyle w:val="1124"/>
      </w:pPr>
      <w:r>
        <w:t xml:space="preserve">Наименование ЭП, посредством которой проводится закупка, указано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До подачи заявки Участник обязан ознакомиться с Регламентом ЭП, опубликованными на сайте соответствующей ЭП.</w:t>
      </w:r>
      <w:r/>
    </w:p>
    <w:p>
      <w:pPr>
        <w:pStyle w:val="1124"/>
      </w:pPr>
      <w:r>
        <w:t xml:space="preserve">Для участия в закупке Участник должен пройти процедуру регистрации в Едином реестре участников закупок в ЕИС </w:t>
      </w:r>
      <w:r>
        <w:t xml:space="preserve">в порядке, предусмотренным Законом 44-ФЗ, т.е. быть зарегистрированным на ЭП. Регистрация осуществляется Федеральным Казначейством, и Организатор (Заказчик) не несет ответственности за результат ее прохождения Участником, в том числе понесенные им затраты.</w:t>
      </w:r>
      <w:r/>
    </w:p>
    <w:p>
      <w:pPr>
        <w:pStyle w:val="1124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24"/>
      </w:pPr>
      <w:r>
        <w:t xml:space="preserve">Обмен всей информацией, связанной с проведением закупки (между Участником, Организатором (Заказчиком) и Оператором ЭП) осуществляется на ЭП в форме электронных документов, подписанных усиленной квалифицированной электронной подписью уполномоченного лица.</w:t>
      </w:r>
      <w:r/>
    </w:p>
    <w:p>
      <w:pPr>
        <w:pStyle w:val="1124"/>
      </w:pPr>
      <w:r>
        <w:t xml:space="preserve">Стоимость заявки (цена Договора)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23"/>
      </w:pPr>
      <w:r/>
      <w:bookmarkStart w:id="383" w:name="_Toc11"/>
      <w:r>
        <w:t xml:space="preserve">Прочие положения</w:t>
      </w:r>
      <w:bookmarkEnd w:id="383"/>
      <w:r/>
      <w:r/>
    </w:p>
    <w:p>
      <w:pPr>
        <w:pStyle w:val="1124"/>
      </w:pPr>
      <w:r>
        <w:t xml:space="preserve">Заказчик, Организатор и Оператор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24"/>
      </w:pPr>
      <w:r>
        <w:t xml:space="preserve">Организатор (по решению Закупочной комиссии), вправе о</w:t>
      </w:r>
      <w:r>
        <w:t xml:space="preserve">тклонить заявку, если будет установлено, что Участник каким-либо способом повлиял на 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</w:t>
      </w:r>
      <w:r>
        <w:t xml:space="preserve">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 качестве стимула, и (или) оказал каким-либо иным образом давление на указанных лиц.</w:t>
      </w:r>
      <w:r/>
    </w:p>
    <w:p>
      <w:pPr>
        <w:pStyle w:val="1124"/>
      </w:pPr>
      <w:r>
        <w:t xml:space="preserve">С целью предупреждения и противодействия против</w:t>
      </w:r>
      <w:r>
        <w:t xml:space="preserve">оправным действиям в Группе РусГидро организована круглосуточная «Линия доверия», обратиться на которую можно по телефону +7 (495) 785 09 37 (круглосуточно), или заполнив соответствующую форму на корпоративном сайте ПАО «РусГидро», вкладка «Линия доверия».</w:t>
      </w:r>
      <w:r/>
    </w:p>
    <w:p>
      <w:pPr>
        <w:pStyle w:val="1122"/>
      </w:pPr>
      <w:r/>
      <w:bookmarkStart w:id="384" w:name="_Toc12"/>
      <w:r/>
      <w:bookmarkStart w:id="45" w:name="_Ref125361210"/>
      <w:r>
        <w:t xml:space="preserve">Требования к Участникам</w:t>
      </w:r>
      <w:bookmarkEnd w:id="45"/>
      <w:r/>
      <w:bookmarkEnd w:id="384"/>
      <w:r/>
      <w:r/>
    </w:p>
    <w:p>
      <w:pPr>
        <w:pStyle w:val="1123"/>
      </w:pPr>
      <w:r/>
      <w:bookmarkStart w:id="385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85"/>
      <w:r/>
      <w:r/>
    </w:p>
    <w:p>
      <w:pPr>
        <w:pStyle w:val="1124"/>
      </w:pPr>
      <w:r/>
      <w:bookmarkStart w:id="49" w:name="_Ref125361514"/>
      <w:r>
        <w:t xml:space="preserve">Из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участвовать в закупке может любое юридическое</w:t>
      </w:r>
      <w:r>
        <w:t xml:space="preserve"> / физическое лицо (в том числе индивидуальный предприниматель)</w:t>
      </w:r>
      <w:r>
        <w:t xml:space="preserve">, независимо от их организационно-правовой фо</w:t>
      </w:r>
      <w:r>
        <w:t xml:space="preserve">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Законом 255-ФЗ – они не могут быть Участником, в том числе в составе группы лиц.</w:t>
      </w:r>
      <w:bookmarkEnd w:id="49"/>
      <w:r/>
      <w:r/>
    </w:p>
    <w:p>
      <w:pPr>
        <w:pStyle w:val="1124"/>
      </w:pPr>
      <w:r>
        <w:t xml:space="preserve">Однако, чтобы претендовать на победу в закупке Участник</w:t>
      </w:r>
      <w:r>
        <w:t xml:space="preserve"> в целом должен отвечать требованиям, установленным в Документации о закупке.</w:t>
      </w:r>
      <w:r/>
    </w:p>
    <w:p>
      <w:pPr>
        <w:pStyle w:val="1124"/>
      </w:pPr>
      <w:r>
        <w:t xml:space="preserve">Требования к Участникам установлены с учетом предмета договора,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требований (Приложение № 1)</w:t>
      </w:r>
      <w:r>
        <w:rPr>
          <w:rStyle w:val="1137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Проекта договора (Приложение № 2)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  <w:keepNext/>
      </w:pPr>
      <w:r>
        <w:t xml:space="preserve">Установлены следующие требования к Участникам, которые приведены в 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Приложении № 3</w:t>
      </w:r>
      <w:r>
        <w:rPr>
          <w:rStyle w:val="1137"/>
        </w:rPr>
        <w:fldChar w:fldCharType="end"/>
      </w:r>
      <w:r>
        <w:t xml:space="preserve">:</w:t>
      </w:r>
      <w:r/>
    </w:p>
    <w:p>
      <w:pPr>
        <w:pStyle w:val="1125"/>
      </w:pPr>
      <w:r>
        <w:t xml:space="preserve">обязательные требования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 – Участники должны им соответствовать;</w:t>
      </w:r>
      <w:r/>
    </w:p>
    <w:p>
      <w:pPr>
        <w:pStyle w:val="1125"/>
      </w:pPr>
      <w:r>
        <w:t xml:space="preserve">специальные требования – Участники должны им соответствовать, если они установлены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).</w:t>
      </w:r>
      <w:r/>
    </w:p>
    <w:p>
      <w:pPr>
        <w:pStyle w:val="1124"/>
        <w:keepNext/>
      </w:pPr>
      <w:r>
        <w:t xml:space="preserve">В рамках требований к Участникам могут быть установлены дополнительные требования:</w:t>
      </w:r>
      <w:r/>
    </w:p>
    <w:p>
      <w:pPr>
        <w:pStyle w:val="1125"/>
      </w:pPr>
      <w:r>
        <w:t xml:space="preserve">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</w:t>
      </w:r>
      <w:r/>
    </w:p>
    <w:p>
      <w:pPr>
        <w:pStyle w:val="1124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Требованиях к Участникам (Приложение № 3)</w:t>
      </w:r>
      <w:r>
        <w:rPr>
          <w:rStyle w:val="1137"/>
        </w:rPr>
        <w:fldChar w:fldCharType="end"/>
      </w:r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23"/>
      </w:pPr>
      <w:r/>
      <w:bookmarkStart w:id="386" w:name="_Toc14"/>
      <w:r/>
      <w:bookmarkStart w:id="63" w:name="_Ref125361702"/>
      <w:r>
        <w:t xml:space="preserve">Генеральные подрядчики</w:t>
      </w:r>
      <w:bookmarkEnd w:id="63"/>
      <w:r/>
      <w:bookmarkEnd w:id="386"/>
      <w:r/>
      <w:r/>
    </w:p>
    <w:p>
      <w:pPr>
        <w:pStyle w:val="1124"/>
      </w:pPr>
      <w:r>
        <w:t xml:space="preserve">Нормы настоящего подраздела применяются только,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рассмотрение заявок Участников с учетом привлекаемых субподрядчиков.</w:t>
      </w:r>
      <w:r/>
    </w:p>
    <w:p>
      <w:pPr>
        <w:pStyle w:val="1124"/>
      </w:pPr>
      <w:r>
        <w:t xml:space="preserve">Если </w:t>
      </w:r>
      <w:r>
        <w:t xml:space="preserve">заявка подается Участником от лица Генерального подрядчика, дополнительно должны быть выполнены требования настоящего подраздела, а также требования к дополнительным документам, предоставляемым таким Участником в составе заявки, установленные в 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Требований к Участникам (Приложение № 3)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  <w:keepNext/>
      </w:pPr>
      <w:r>
        <w:t xml:space="preserve">Генеральный подрядчик:</w:t>
      </w:r>
      <w:r/>
    </w:p>
    <w:p>
      <w:pPr>
        <w:pStyle w:val="1125"/>
      </w:pPr>
      <w:r>
        <w:t xml:space="preserve">должен самостоятельно отвечать всем обязательным требованиям к Участникам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в рамках специальных требований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), касающихся членства в саморегулируемых организациях (в случае их установления), должен иметь соответствующее членство с учетом требований законодательства к такому членству;</w:t>
      </w:r>
      <w:r/>
    </w:p>
    <w:p>
      <w:pPr>
        <w:pStyle w:val="1125"/>
      </w:pPr>
      <w:r>
        <w:t xml:space="preserve">в рамках остальных специаль</w:t>
      </w:r>
      <w:r>
        <w:t xml:space="preserve">ных требований (в случае их установления) должен отвечать им только в части объема поставки продукции, который ему предполагается поручить в соответствии с представленным в 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).</w:t>
      </w:r>
      <w:r/>
    </w:p>
    <w:p>
      <w:pPr>
        <w:pStyle w:val="1124"/>
        <w:keepNext/>
      </w:pPr>
      <w:r/>
      <w:bookmarkStart w:id="65" w:name="_Ref125368863"/>
      <w:r>
        <w:t xml:space="preserve">Каждый субподрядчик из привлекаемых Генеральным подрядчиком должен отвечать:</w:t>
      </w:r>
      <w:r/>
    </w:p>
    <w:p>
      <w:pPr>
        <w:pStyle w:val="1125"/>
      </w:pPr>
      <w:r>
        <w:t xml:space="preserve">обязательным требованиям (подраздел </w:t>
      </w:r>
      <w:r>
        <w:fldChar w:fldCharType="begin"/>
      </w:r>
      <w:r>
        <w:instrText xml:space="preserve"> REF _Ref125361435 \r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 \* MERGEFORMAT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 (в случае их установления), за исключением требования о наличии членства в саморегулируемых организациях.</w:t>
      </w:r>
      <w:r/>
    </w:p>
    <w:p>
      <w:pPr>
        <w:pStyle w:val="1128"/>
        <w:ind w:left="1134"/>
      </w:pPr>
      <w:r>
        <w:t xml:space="preserve">При этом соответствовать специальным требованиям субподрядчик должен только в части объема поставки продукции, который ему </w:t>
      </w:r>
      <w:bookmarkEnd w:id="65"/>
      <w:r>
        <w:t xml:space="preserve">поручен в соответствии с представленным в 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).</w:t>
      </w:r>
      <w:r/>
    </w:p>
    <w:p>
      <w:pPr>
        <w:pStyle w:val="1124"/>
      </w:pPr>
      <w:r/>
      <w:bookmarkStart w:id="66" w:name="_Ref125361799"/>
      <w:r>
        <w:t xml:space="preserve">Любое юридическое или физическое лицо (в том числе и</w:t>
      </w:r>
      <w:r>
        <w:t xml:space="preserve">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</w:t>
      </w:r>
      <w:r>
        <w:t xml:space="preserve">. Каждый Генеральный подрядчик может подат</w:t>
      </w:r>
      <w:r>
        <w:t xml:space="preserve">ь только одну заявку и не может быть субподрядчиком у других Генеральных подрядчиков</w:t>
      </w:r>
      <w:r>
        <w:t xml:space="preserve">. В случае невыполнения этих требований заявки с участием таких лиц будут отклонены без рассмотрения по существу.</w:t>
      </w:r>
      <w:bookmarkEnd w:id="66"/>
      <w:r/>
      <w:r/>
    </w:p>
    <w:p>
      <w:pPr>
        <w:pStyle w:val="1124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не предусмотрено рассмотрение заяв</w:t>
      </w:r>
      <w:r>
        <w:t xml:space="preserve">ок Участников с учетом привлекаемых субподрядчиков, то при рассмотрении заявок к учету принимаются исключительно сведения о самом Участнике, в связи с чем Участник не обязан предоставлять документы на привлекаемых им субподрядчиков, указанные в подразделе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Требований к Участникам (Приложение № 3)</w:t>
      </w:r>
      <w:r>
        <w:rPr>
          <w:rStyle w:val="1137"/>
        </w:rPr>
        <w:fldChar w:fldCharType="end"/>
      </w:r>
      <w:r>
        <w:t xml:space="preserve">.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Участника.</w:t>
      </w:r>
      <w:r/>
    </w:p>
    <w:p>
      <w:pPr>
        <w:pStyle w:val="1124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387" w:name="_Toc15"/>
      <w:r/>
      <w:bookmarkStart w:id="67" w:name="_Ref125361211"/>
      <w:r/>
      <w:bookmarkStart w:id="69" w:name="_Ref125367107"/>
      <w:r/>
      <w:bookmarkStart w:id="70" w:name="_Ref125367098"/>
      <w:r/>
      <w:bookmarkStart w:id="71" w:name="_Ref125367974"/>
      <w:r>
        <w:t xml:space="preserve">Порядок проведения закупки</w:t>
      </w:r>
      <w:bookmarkEnd w:id="67"/>
      <w:r/>
      <w:bookmarkEnd w:id="69"/>
      <w:r/>
      <w:bookmarkEnd w:id="70"/>
      <w:r/>
      <w:bookmarkEnd w:id="71"/>
      <w:r/>
      <w:bookmarkEnd w:id="387"/>
      <w:r/>
      <w:r/>
    </w:p>
    <w:p>
      <w:pPr>
        <w:pStyle w:val="1123"/>
      </w:pPr>
      <w:r/>
      <w:bookmarkStart w:id="388" w:name="_Toc16"/>
      <w:r/>
      <w:bookmarkStart w:id="72" w:name="_Ref126141932"/>
      <w:r>
        <w:t xml:space="preserve">Общий порядок проведения закупки</w:t>
      </w:r>
      <w:bookmarkEnd w:id="72"/>
      <w:r/>
      <w:bookmarkEnd w:id="388"/>
      <w:r/>
      <w:r/>
    </w:p>
    <w:p>
      <w:pPr>
        <w:pStyle w:val="1124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5"/>
        <w:tblW w:w="14007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E7E7E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 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 их 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E7E7E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pP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Применение законодательства о национальном режиме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(предоставление национального режима или запрета)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(подраздел 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begin"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instrText xml:space="preserve"> REF _Ref149648944 \r \h </w:instrTex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separate"/>
            </w:r>
            <w:r>
              <w:t xml:space="preserve">4.17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end"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)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 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 на 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 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28"/>
      </w:pPr>
      <w:r/>
      <w:bookmarkStart w:id="74" w:name="_Ref125362061"/>
      <w:r/>
      <w:r/>
    </w:p>
    <w:p>
      <w:pPr>
        <w:pStyle w:val="112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3"/>
      </w:pPr>
      <w:r/>
      <w:bookmarkStart w:id="389" w:name="_Toc17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9"/>
      <w:r/>
      <w:r/>
    </w:p>
    <w:p>
      <w:pPr>
        <w:pStyle w:val="1124"/>
      </w:pPr>
      <w:r>
        <w:t xml:space="preserve">Извещение и Документация о закупке официально размещены на Официальном сайте (ЕИС) и доступны для ознакомления без взимания платы. Иные публикации не влекут для Организатора никаких последствий.</w:t>
      </w:r>
      <w:r/>
    </w:p>
    <w:p>
      <w:pPr>
        <w:pStyle w:val="1124"/>
      </w:pPr>
      <w:r>
        <w:t xml:space="preserve">При возникновении технических или иных неполадок, блокирующих досту</w:t>
      </w:r>
      <w:r>
        <w:t xml:space="preserve">п к Официальному сайту (ЕИС) в течение более чем 1 (одного) рабочего дня, информация размещается на официальном сайте Заказчика с последующим размещением ее на Официальном сайте (ЕИС) в течение 1 (одного) рабочего дня со дня устранения указанных неполадок.</w:t>
      </w:r>
      <w:r/>
    </w:p>
    <w:p>
      <w:pPr>
        <w:pStyle w:val="1124"/>
      </w:pPr>
      <w:r/>
      <w:bookmarkStart w:id="77" w:name="_Ref125362785"/>
      <w:r>
        <w:t xml:space="preserve">Участники могут получить Документацию о закупке также через ЭП. Порядок получения информации через ЭП определяется Регламентом ЭП, с использованием которой проводится закупка.</w:t>
      </w:r>
      <w:bookmarkEnd w:id="77"/>
      <w:r/>
      <w:r/>
    </w:p>
    <w:p>
      <w:pPr>
        <w:pStyle w:val="1124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23"/>
      </w:pPr>
      <w:r/>
      <w:bookmarkStart w:id="390" w:name="_Toc18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90"/>
      <w:r/>
      <w:r/>
    </w:p>
    <w:p>
      <w:pPr>
        <w:pStyle w:val="1124"/>
      </w:pPr>
      <w:r>
        <w:t xml:space="preserve">Участник должен подготовить заявку с учетом требований Документации о закупке.</w:t>
      </w:r>
      <w:r/>
    </w:p>
    <w:p>
      <w:pPr>
        <w:pStyle w:val="1124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24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37"/>
        </w:rPr>
        <w:t xml:space="preserve">Приложением № 6 – Состав заявки</w:t>
      </w:r>
      <w:r>
        <w:rPr>
          <w:rStyle w:val="1137"/>
        </w:rPr>
        <w:fldChar w:fldCharType="end"/>
      </w:r>
      <w:r>
        <w:t xml:space="preserve">. Образцы форм документов, включаемых в состав заявки, а также инструкции по их подготовке,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 и вторую часть </w:t>
      </w:r>
      <w:bookmarkEnd w:id="82"/>
      <w:r>
        <w:t xml:space="preserve">в соответствии с перечнем документов, входящих в каждую из частей,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37"/>
        </w:rPr>
        <w:t xml:space="preserve">Приложением № 6 – Состав заявки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 (или) о его ценовом предложении).</w:t>
      </w:r>
      <w:r/>
    </w:p>
    <w:p>
      <w:pPr>
        <w:pStyle w:val="1124"/>
      </w:pPr>
      <w:r>
        <w:t xml:space="preserve">Во вторую часть заявки должны входить документы, содержащие сведения об Участнике и информацию о его соответствии т</w:t>
      </w:r>
      <w:r>
        <w:t xml:space="preserve">ребованиям Документации о закупке, копии документов, подтверждающих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 Документации о закупке).</w:t>
      </w:r>
      <w:r/>
    </w:p>
    <w:p>
      <w:pPr>
        <w:pStyle w:val="1124"/>
      </w:pPr>
      <w:r>
        <w:t xml:space="preserve">При этом документы, входящие в состав первой части заявки, не должны </w:t>
      </w:r>
      <w:r>
        <w:t xml:space="preserve">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 информационно-телекоммуникационной сети «Интернет» и т.п.).</w:t>
      </w:r>
      <w:r/>
    </w:p>
    <w:p>
      <w:pPr>
        <w:pStyle w:val="1124"/>
      </w:pPr>
      <w:r>
        <w:t xml:space="preserve">В случае обнаружения в первой части заявки сведений об Участнике и (или) его ценовом предложении, такая заявка подлежит отклонению.</w:t>
      </w:r>
      <w:r/>
    </w:p>
    <w:p>
      <w:pPr>
        <w:pStyle w:val="1124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24"/>
      </w:pPr>
      <w:r/>
      <w:bookmarkStart w:id="84" w:name="_Ref125362071"/>
      <w:r/>
      <w:bookmarkStart w:id="85" w:name="_Ref125366672"/>
      <w:r/>
      <w:bookmarkStart w:id="86" w:name="_Ref125361260"/>
      <w:r>
        <w:t xml:space="preserve">Заявка должна 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Указание меньшего срока действия заявки в Письме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 может служить основанием для отклонения заявки.</w:t>
      </w:r>
      <w:r/>
    </w:p>
    <w:p>
      <w:pPr>
        <w:pStyle w:val="1124"/>
      </w:pPr>
      <w:r>
        <w:t xml:space="preserve">Все документы, входящие в состав заявки, должны быть подготовлены на русском языке. Исключение составляют документы, оригиналы которых выданы Участнику тр</w:t>
      </w:r>
      <w:r>
        <w:t xml:space="preserve">етьими лицами на ином языке: они могут быть представлены на языке оригинала при условии, что к ним приложен перевод этих документов на русский язык (в специально оговоренных случаях – с апостилем согласно Гаагской конвенции 1961 года). Наличие противоречий</w:t>
      </w:r>
      <w:r>
        <w:t xml:space="preserve">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 рассматривать документы, не переведенные на русский язык.</w:t>
      </w:r>
      <w:r/>
    </w:p>
    <w:p>
      <w:pPr>
        <w:pStyle w:val="1124"/>
      </w:pPr>
      <w:r>
        <w:t xml:space="preserve">Все суммы денежных средств в документах, вхо</w:t>
      </w:r>
      <w:r>
        <w:t xml:space="preserve">дящих в состав заявки, в том числе в ценовое предложение,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 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24"/>
      </w:pPr>
      <w:r/>
      <w:bookmarkStart w:id="87" w:name="_Ref125370708"/>
      <w:r/>
      <w:bookmarkStart w:id="88" w:name="_Ref125370700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24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Техническими требованиями (Приложение № 1)</w:t>
      </w:r>
      <w:r>
        <w:rPr>
          <w:rStyle w:val="1137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Проектом договора (Приложение № 2)</w:t>
      </w:r>
      <w:r>
        <w:rPr>
          <w:rStyle w:val="1137"/>
        </w:rPr>
        <w:fldChar w:fldCharType="end"/>
      </w:r>
      <w:r>
        <w:t xml:space="preserve">, а также сумму налогов и других обязательных платеже</w:t>
      </w:r>
      <w:r>
        <w:t xml:space="preserve">й, подлежащих уплате в соответствии с нормами законодательства (если иное не установлено Документацией о закупке). При этом сумма НДС (в случае его уплаты) выделяется отдельно и не входит в 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24"/>
      </w:pPr>
      <w:r/>
      <w:bookmarkStart w:id="89" w:name="_Ref130379863"/>
      <w:r>
        <w:t xml:space="preserve">Участник в составе заявки предоставляет по установленной форме Технического предложения (форма 4;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 № 1)</w:t>
      </w:r>
      <w:r>
        <w:rPr>
          <w:rStyle w:val="1137"/>
        </w:rPr>
        <w:fldChar w:fldCharType="end"/>
      </w:r>
      <w:r>
        <w:t xml:space="preserve">.</w:t>
      </w:r>
      <w:bookmarkEnd w:id="89"/>
      <w:r/>
      <w:r/>
    </w:p>
    <w:p>
      <w:pPr>
        <w:pStyle w:val="1124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 № 1)</w:t>
      </w:r>
      <w:r>
        <w:rPr>
          <w:rStyle w:val="1137"/>
        </w:rPr>
        <w:fldChar w:fldCharType="end"/>
      </w:r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24"/>
      </w:pPr>
      <w:r>
        <w:t xml:space="preserve">Если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</w:t>
      </w:r>
      <w:r>
        <w:t xml:space="preserve">ие производителя, сопровождаемые словами «или эквивалент», и Участник предлагает продукцию, являющуюся эквивалентом требуемой, то он при описании продукции обязан подтвердить соответствие предлагаемой продукции показателям эквивалентности,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Техническими требованиями (Приложение № 1)</w:t>
      </w:r>
      <w:r>
        <w:rPr>
          <w:rStyle w:val="1137"/>
        </w:rPr>
        <w:fldChar w:fldCharType="end"/>
      </w:r>
      <w:r>
        <w:t xml:space="preserve">.</w:t>
      </w:r>
      <w:bookmarkEnd w:id="90"/>
      <w:r/>
      <w:r/>
    </w:p>
    <w:p>
      <w:pPr>
        <w:pStyle w:val="1124"/>
      </w:pPr>
      <w:r/>
      <w:bookmarkStart w:id="91" w:name="_Ref130455500"/>
      <w:r>
        <w:t xml:space="preserve">В случае нарушения Участником требований к описанию продукции (пункты </w:t>
      </w:r>
      <w:r>
        <w:fldChar w:fldCharType="begin"/>
      </w:r>
      <w:r>
        <w:instrText xml:space="preserve"> REF _Ref130379863 \r \h  \* MERGEFORMAT </w:instrText>
      </w:r>
      <w:r>
        <w:fldChar w:fldCharType="separate"/>
      </w:r>
      <w:r>
        <w:t xml:space="preserve">4.3.15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 Организатор вправе отклонить заявку такого Участника от дальнейшего участия в закупке.</w:t>
      </w:r>
      <w:bookmarkEnd w:id="91"/>
      <w:r>
        <w:rPr>
          <w:lang w:val="en-US"/>
        </w:rPr>
      </w:r>
      <w:r/>
    </w:p>
    <w:p>
      <w:pPr>
        <w:pStyle w:val="1124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информацию. Также должны отсутствовать:</w:t>
      </w:r>
      <w:r/>
    </w:p>
    <w:p>
      <w:pPr>
        <w:pStyle w:val="1125"/>
      </w:pPr>
      <w:r>
        <w:t xml:space="preserve">внутренние противоречия между различными частями и (или) документами заявки, в том числе по тексту внутри одного документа;</w:t>
      </w:r>
      <w:r/>
    </w:p>
    <w:p>
      <w:pPr>
        <w:pStyle w:val="1125"/>
      </w:pPr>
      <w:r>
        <w:t xml:space="preserve">противоречия между документами заявки и сведениями, указанными Участником в структурированных формах на ЭП.</w:t>
      </w:r>
      <w:bookmarkEnd w:id="92"/>
      <w:r/>
      <w:bookmarkEnd w:id="93"/>
      <w:r/>
      <w:r/>
    </w:p>
    <w:p>
      <w:pPr>
        <w:pStyle w:val="1124"/>
      </w:pPr>
      <w:r>
        <w:t xml:space="preserve">Представленные в соста</w:t>
      </w:r>
      <w:r>
        <w:t xml:space="preserve">ве заявки документы, оформленные / выданные государственными, лицензирующими, сертификационными, аккредитационными органами и (или)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25"/>
      </w:pPr>
      <w:r>
        <w:t xml:space="preserve">полномочий таких органов / лиц на оформление этих документов;</w:t>
      </w:r>
      <w:r/>
    </w:p>
    <w:p>
      <w:pPr>
        <w:pStyle w:val="1125"/>
      </w:pPr>
      <w:r>
        <w:t xml:space="preserve">формы, объема и содержания этих документов.</w:t>
      </w:r>
      <w:r/>
    </w:p>
    <w:p>
      <w:pPr>
        <w:pStyle w:val="1124"/>
        <w:keepNext/>
      </w:pPr>
      <w:r>
        <w:t xml:space="preserve">Участник должен подготовить заявку с соблюдением следующих условий:</w:t>
      </w:r>
      <w:r/>
    </w:p>
    <w:p>
      <w:pPr>
        <w:pStyle w:val="1125"/>
      </w:pPr>
      <w:r>
        <w:t xml:space="preserve">документы заявки могут предоставляться как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 так и в электронном виде (в 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других). Исключение составляют документы, выданные Участнику третьими лицами, которые должны быть предоставлены только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25"/>
      </w:pPr>
      <w:r>
        <w:t xml:space="preserve">электронные копии документов, заверенные третьей стороной,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25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25"/>
      </w:pPr>
      <w:r>
        <w:t xml:space="preserve">файлы электронной заявки рекомендуется именовать так, чтобы можно было идентифицировать содержание данного файла заявки (указать в названии файла содержащийся в нем документ). Каждый документ рекомендуется размещать в отдельном файле;</w:t>
      </w:r>
      <w:r/>
    </w:p>
    <w:p>
      <w:pPr>
        <w:pStyle w:val="1125"/>
      </w:pPr>
      <w:r>
        <w:t xml:space="preserve">если какой-либо документ представлен в нечитаемом виде, данный документ считается непредставленным.</w:t>
      </w:r>
      <w:r/>
    </w:p>
    <w:p>
      <w:pPr>
        <w:pStyle w:val="1124"/>
      </w:pPr>
      <w:r>
        <w:t xml:space="preserve">Никакие исправления в документах заявки не имеют силу, за исключением тех случаев, когда эти исправления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23"/>
      </w:pPr>
      <w:r/>
      <w:bookmarkStart w:id="391" w:name="_Toc19"/>
      <w:r/>
      <w:bookmarkStart w:id="94" w:name="_Ref130394802"/>
      <w:r/>
      <w:bookmarkStart w:id="95" w:name="_Ref130394205"/>
      <w:r/>
      <w:bookmarkStart w:id="96" w:name="_Ref130394785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91"/>
      <w:r/>
      <w:r/>
    </w:p>
    <w:p>
      <w:pPr>
        <w:pStyle w:val="1124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24"/>
      </w:pPr>
      <w:r>
        <w:t xml:space="preserve">Запросы подаются в соответствии с Регламентами и инструкциями Оператора ЭП, опубликованными на сайте соответствующей ЭП.</w:t>
      </w:r>
      <w:r/>
    </w:p>
    <w:p>
      <w:pPr>
        <w:pStyle w:val="1124"/>
      </w:pPr>
      <w:r>
        <w:t xml:space="preserve">Организатор обязуется ответить на любой вопрос, поступивший не позднее чем за 3 (три) рабочих дня до даты окончания срока подачи заявок. В случае поступления вопросов с нарушением установленного срока Организатор вправе не предоставлять разъяснения.</w:t>
      </w:r>
      <w:r/>
    </w:p>
    <w:p>
      <w:pPr>
        <w:pStyle w:val="1124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 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но в любом случае не позднее чем в течение 3 (трех) рабочих дней с даты поступления такого запроса. Копия ответа размещается Организатором на ЭП.</w:t>
      </w:r>
      <w:r/>
    </w:p>
    <w:p>
      <w:pPr>
        <w:pStyle w:val="1124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24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Проекта договора (Приложения № 2)</w:t>
      </w:r>
      <w:r>
        <w:rPr>
          <w:rStyle w:val="1137"/>
        </w:rPr>
        <w:fldChar w:fldCharType="end"/>
      </w:r>
      <w:r>
        <w:rPr>
          <w:rStyle w:val="1137"/>
        </w:rPr>
        <w:t xml:space="preserve">,</w:t>
      </w:r>
      <w:r>
        <w:t xml:space="preserve"> </w:t>
      </w:r>
      <w:r>
        <w:t xml:space="preserve">в противном случае вносятся изменения в Документацию о закупке. При этом Участники обязаны учитывать разъяснения Организатора при подготовке своих заявок. Все риски и последствия за подачу заявки без учета официально размещенных разъяснений несет Участник.</w:t>
      </w:r>
      <w:r/>
    </w:p>
    <w:p>
      <w:pPr>
        <w:pStyle w:val="1124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 вправе на нее ссылаться.</w:t>
      </w:r>
      <w:r/>
    </w:p>
    <w:p>
      <w:pPr>
        <w:pStyle w:val="1123"/>
      </w:pPr>
      <w:r/>
      <w:bookmarkStart w:id="392" w:name="_Toc20"/>
      <w:r/>
      <w:bookmarkStart w:id="98" w:name="_Ref125363891"/>
      <w:r/>
      <w:bookmarkStart w:id="99" w:name="_Ref125362076"/>
      <w:r/>
      <w:bookmarkStart w:id="101" w:name="_Ref125364404"/>
      <w:r>
        <w:t xml:space="preserve">Изменения Извещения и (или) Документации о закупке</w:t>
      </w:r>
      <w:bookmarkEnd w:id="98"/>
      <w:r/>
      <w:bookmarkEnd w:id="99"/>
      <w:r/>
      <w:bookmarkEnd w:id="101"/>
      <w:r/>
      <w:bookmarkEnd w:id="392"/>
      <w:r/>
      <w:r/>
    </w:p>
    <w:p>
      <w:pPr>
        <w:pStyle w:val="1124"/>
      </w:pPr>
      <w:r>
        <w:t xml:space="preserve">Организатор в любой момент до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вправе внести изменения в Извещение и (или) Документацию о закупке. При этом официальному размещению подлежит обновленная редакция Извещения и (или) Документации о закупке, а также перечень внесенных изменений в них.</w:t>
      </w:r>
      <w:r/>
    </w:p>
    <w:p>
      <w:pPr>
        <w:pStyle w:val="1124"/>
        <w:keepNext/>
      </w:pPr>
      <w:r/>
      <w:bookmarkStart w:id="102" w:name="_Ref125550844"/>
      <w:r>
        <w:t xml:space="preserve">После окончания срока подачи заявок допускается изменение только в части установленных Документацией о закупке дат (</w:t>
      </w:r>
      <w:bookmarkStart w:id="103" w:name="_Hlk149650101"/>
      <w:r>
        <w:t xml:space="preserve">и если необходимо времени</w:t>
      </w:r>
      <w:bookmarkEnd w:id="103"/>
      <w:r>
        <w:t xml:space="preserve">):</w:t>
      </w:r>
      <w:r/>
    </w:p>
    <w:p>
      <w:pPr>
        <w:pStyle w:val="1125"/>
      </w:pPr>
      <w:r>
        <w:t xml:space="preserve">рассмотрения первых частей заявок;</w:t>
      </w:r>
      <w:r/>
    </w:p>
    <w:p>
      <w:pPr>
        <w:pStyle w:val="1125"/>
      </w:pPr>
      <w:r>
        <w:t xml:space="preserve">проведения аукциона;</w:t>
      </w:r>
      <w:r/>
    </w:p>
    <w:p>
      <w:pPr>
        <w:pStyle w:val="1125"/>
      </w:pPr>
      <w:r>
        <w:t xml:space="preserve">рассмотрения вторых частей заявок;</w:t>
      </w:r>
      <w:r/>
    </w:p>
    <w:p>
      <w:pPr>
        <w:pStyle w:val="1125"/>
      </w:pPr>
      <w:r>
        <w:t xml:space="preserve">подведения итогов закупки;</w:t>
      </w:r>
      <w:r/>
    </w:p>
    <w:p>
      <w:pPr>
        <w:pStyle w:val="1128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24"/>
      </w:pPr>
      <w:r>
        <w:t xml:space="preserve">Текст изменений офици</w:t>
      </w:r>
      <w:r>
        <w:t xml:space="preserve">ально размещается в течение 3 (трех) календарных дней со дня принятия решения о внесении указанных изменений. Все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24"/>
      </w:pPr>
      <w:r>
        <w:t xml:space="preserve">При 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</w:t>
      </w:r>
      <w:r>
        <w:t xml:space="preserve">и заявок будет продлен таким образом, чтобы со дня официального размещения таких изменений до даты окончания подачи заявок оставалось не менее половины от минимального срока подачи заявок, установленного в Положении о закупке для данного способа, а именно:</w:t>
      </w:r>
      <w:r/>
    </w:p>
    <w:p>
      <w:pPr>
        <w:pStyle w:val="1125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25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24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23"/>
      </w:pPr>
      <w:r/>
      <w:bookmarkStart w:id="393" w:name="_Toc21"/>
      <w:r/>
      <w:bookmarkStart w:id="104" w:name="_Ref125362119"/>
      <w:r>
        <w:t xml:space="preserve">Подача заявок и их прием</w:t>
      </w:r>
      <w:bookmarkEnd w:id="104"/>
      <w:r/>
      <w:bookmarkEnd w:id="393"/>
      <w:r/>
      <w:r/>
    </w:p>
    <w:p>
      <w:pPr>
        <w:pStyle w:val="1124"/>
      </w:pPr>
      <w:r>
        <w:t xml:space="preserve">Участник вправе подать одну подготовленную заявку на участие в закупке в любое время начиная с даты официального размещения Извещения и до 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При этом первая и вторая части заявок подаются Участниками одновременно. Заявки, под</w:t>
      </w:r>
      <w:r>
        <w:t xml:space="preserve">анные позднее установленного срока, не могут быть приняты Организатором, независимо от причин опоздания.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24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Документации о закупке (включая все приложения к ней).</w:t>
      </w:r>
      <w:r/>
    </w:p>
    <w:p>
      <w:pPr>
        <w:pStyle w:val="1124"/>
      </w:pPr>
      <w:r>
        <w:t xml:space="preserve">Заявка должна быть </w:t>
      </w:r>
      <w:r>
        <w:t xml:space="preserve">подготовлена в форме электронного документа и подана с использованием функционала ЭП в доступном для прочтения формате. При этом Участник должен 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24"/>
      </w:pPr>
      <w:r>
        <w:t xml:space="preserve">Заявка должна быть подписана электронной подписью лица, которое является уполномоченным представителем Участника.</w:t>
      </w:r>
      <w:r/>
    </w:p>
    <w:p>
      <w:pPr>
        <w:pStyle w:val="1124"/>
      </w:pPr>
      <w:r>
        <w:t xml:space="preserve">Правила подачи заявок также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рассматриваются.</w:t>
      </w:r>
      <w:r/>
    </w:p>
    <w:p>
      <w:pPr>
        <w:pStyle w:val="1124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24"/>
      </w:pPr>
      <w:r>
        <w:t xml:space="preserve">Оператор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23"/>
      </w:pPr>
      <w:r/>
      <w:bookmarkStart w:id="394" w:name="_Toc22"/>
      <w:r/>
      <w:bookmarkStart w:id="107" w:name="_Ref125365136"/>
      <w:r/>
      <w:bookmarkStart w:id="108" w:name="_Ref125362192"/>
      <w:r/>
      <w:bookmarkStart w:id="109" w:name="_Ref125362130"/>
      <w:r/>
      <w:bookmarkStart w:id="110" w:name="_Ref125363819"/>
      <w:r>
        <w:t xml:space="preserve">Изменение и отзыв заявок</w:t>
      </w:r>
      <w:bookmarkEnd w:id="107"/>
      <w:r/>
      <w:bookmarkEnd w:id="108"/>
      <w:r/>
      <w:bookmarkEnd w:id="109"/>
      <w:r/>
      <w:bookmarkEnd w:id="110"/>
      <w:r/>
      <w:bookmarkEnd w:id="394"/>
      <w:r/>
      <w:r/>
    </w:p>
    <w:p>
      <w:pPr>
        <w:pStyle w:val="1124"/>
      </w:pPr>
      <w:r>
        <w:t xml:space="preserve">Участник вправе изменить или отозвать поданную им ранее заявку до момента окончания срока подачи заявок. Внесение изменений в заявку, отзыв заявки после этого времени не допускаются, кроме случаев, прямо предусмотренных Документацией о закупке.</w:t>
      </w:r>
      <w:r/>
    </w:p>
    <w:p>
      <w:pPr>
        <w:pStyle w:val="1124"/>
      </w:pPr>
      <w:r>
        <w:t xml:space="preserve">Отзыв Участником ранее поданной заявки является отказом от участия в закупке, отозванные заявки не рассматриваются Организатором по существу.</w:t>
      </w:r>
      <w:r/>
    </w:p>
    <w:p>
      <w:pPr>
        <w:pStyle w:val="1124"/>
      </w:pPr>
      <w:r>
        <w:t xml:space="preserve">Изменение и отзыв Участником ранее поданной заявки осуществляется в 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 \* MERGEFORMAT </w:instrText>
      </w:r>
      <w:r>
        <w:fldChar w:fldCharType="separate"/>
      </w:r>
      <w:r>
        <w:t xml:space="preserve">4.4.6</w:t>
      </w:r>
      <w:r>
        <w:fldChar w:fldCharType="end"/>
      </w:r>
      <w:r>
        <w:t xml:space="preserve">.</w:t>
      </w:r>
      <w:r/>
    </w:p>
    <w:p>
      <w:pPr>
        <w:pStyle w:val="1124"/>
      </w:pPr>
      <w:r>
        <w:t xml:space="preserve">Изменения и отзыв заявки осуществляется посредством функционала ЭП (подробный порядок определяется Регламентом ЭП).</w:t>
      </w:r>
      <w:r/>
    </w:p>
    <w:p>
      <w:pPr>
        <w:pStyle w:val="1123"/>
      </w:pPr>
      <w:r/>
      <w:bookmarkStart w:id="395" w:name="_Toc23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5"/>
      <w:r/>
      <w:r/>
    </w:p>
    <w:p>
      <w:pPr>
        <w:pStyle w:val="1124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bookmarkEnd w:id="113"/>
      <w:r/>
      <w:r/>
    </w:p>
    <w:p>
      <w:pPr>
        <w:pStyle w:val="1124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Оператор ЭП обеспечивает конфиденциально</w:t>
      </w:r>
      <w:r>
        <w:t xml:space="preserve">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в первых частях заявок, от Участников такой закупки.</w:t>
      </w:r>
      <w:bookmarkEnd w:id="114"/>
      <w:r/>
      <w:r/>
    </w:p>
    <w:p>
      <w:pPr>
        <w:pStyle w:val="1123"/>
      </w:pPr>
      <w:r/>
      <w:bookmarkStart w:id="396" w:name="_Toc24"/>
      <w:r/>
      <w:bookmarkStart w:id="115" w:name="_Ref125366689"/>
      <w:r/>
      <w:bookmarkStart w:id="116" w:name="_Ref125362364"/>
      <w:r>
        <w:t xml:space="preserve">Рассмотрение первых частей заявок (отборочная стадия)</w:t>
      </w:r>
      <w:bookmarkEnd w:id="115"/>
      <w:r/>
      <w:bookmarkEnd w:id="116"/>
      <w:r/>
      <w:bookmarkEnd w:id="396"/>
      <w:r/>
      <w:r/>
    </w:p>
    <w:p>
      <w:pPr>
        <w:pStyle w:val="1124"/>
      </w:pPr>
      <w:r>
        <w:t xml:space="preserve">Дата окончания срока рассмотрения первых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24"/>
      </w:pPr>
      <w:r>
        <w:t xml:space="preserve">В рамках рассмотрения первых частей заявок (отборочной стадии) осуществляется проверка каждой заявки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37"/>
        </w:rPr>
        <w:t xml:space="preserve">Отборочным критериям рассмотрения заявок (Приложение № 7)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>
        <w:t xml:space="preserve">Рассмотрение первых частей заявок проводится на основании представленных в составе заявки документов и сведений.</w:t>
      </w:r>
      <w:r/>
    </w:p>
    <w:p>
      <w:pPr>
        <w:pStyle w:val="1124"/>
        <w:keepNext/>
      </w:pPr>
      <w:r/>
      <w:bookmarkStart w:id="118" w:name="_Ref125551456"/>
      <w:r>
        <w:t xml:space="preserve">По результатам рассмотрения первых частей заявок 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25"/>
      </w:pPr>
      <w:r>
        <w:t xml:space="preserve">несоответствие первой части заявки по составу</w:t>
      </w:r>
      <w:r>
        <w:rPr>
          <w:rStyle w:val="951"/>
        </w:rPr>
        <w:footnoteReference w:id="4"/>
      </w:r>
      <w:r>
        <w:t xml:space="preserve">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26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26"/>
      </w:pPr>
      <w:r>
        <w:t xml:space="preserve">внутренних противоречий между различными частями и (или) документами первой части заявки, в том числе по тексту внутри одного документа;</w:t>
      </w:r>
      <w:r/>
    </w:p>
    <w:p>
      <w:pPr>
        <w:pStyle w:val="1125"/>
      </w:pPr>
      <w:r>
        <w:t xml:space="preserve">несоответствие предлагаемой продукции требованиям Документации о закупке, в том числе порядка описания такой продукции</w:t>
      </w:r>
      <w:r>
        <w:t xml:space="preserve">;</w:t>
      </w:r>
      <w:r/>
    </w:p>
    <w:p>
      <w:pPr>
        <w:pStyle w:val="1125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25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24"/>
        <w:keepNext/>
      </w:pPr>
      <w:r>
        <w:t xml:space="preserve">Решение Закупочной комиссии по рассмотрению первых частей заявок оформляется протоколом, в котором, как минимум, указываются</w:t>
      </w:r>
      <w:r>
        <w:rPr>
          <w:rStyle w:val="951"/>
        </w:rPr>
        <w:footnoteReference w:id="5"/>
      </w:r>
      <w:r>
        <w:t xml:space="preserve">:</w:t>
      </w:r>
      <w:r/>
    </w:p>
    <w:p>
      <w:pPr>
        <w:pStyle w:val="1125"/>
      </w:pPr>
      <w:r>
        <w:t xml:space="preserve">дата подписания протокола;</w:t>
      </w:r>
      <w:r/>
    </w:p>
    <w:p>
      <w:pPr>
        <w:pStyle w:val="112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5"/>
      </w:pPr>
      <w:r>
        <w:t xml:space="preserve">идентификационные номера, присваиваемые Оператором ЭП;</w:t>
      </w:r>
      <w:r/>
    </w:p>
    <w:p>
      <w:pPr>
        <w:pStyle w:val="1125"/>
        <w:keepNext/>
      </w:pPr>
      <w:r>
        <w:t xml:space="preserve">результаты рассмотрения первых частей заявок с указанием, в том числе:</w:t>
      </w:r>
      <w:r/>
    </w:p>
    <w:p>
      <w:pPr>
        <w:pStyle w:val="1126"/>
      </w:pPr>
      <w:r>
        <w:t xml:space="preserve">количества заявок, которые были отклонены по результатам рассмотрения первых частей заявок;</w:t>
      </w:r>
      <w:r/>
    </w:p>
    <w:p>
      <w:pPr>
        <w:pStyle w:val="1126"/>
      </w:pPr>
      <w:r>
        <w:t xml:space="preserve">оснований отклонения каждой заявки с указанием положений Документации о закупке, которым не соответствует первая часть такой заявка;</w:t>
      </w:r>
      <w:r/>
    </w:p>
    <w:p>
      <w:pPr>
        <w:pStyle w:val="1125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24"/>
      </w:pPr>
      <w:r>
        <w:t xml:space="preserve">Протокол рассмотрения первых частей заявок направляется Организатором Оператору ЭП не позднее 3 (трех) календарных дней с даты подписания такого протокола, но в любом случае до начала проведения аукциона;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23"/>
      </w:pPr>
      <w:r/>
      <w:bookmarkStart w:id="397" w:name="_Toc25"/>
      <w:r/>
      <w:bookmarkStart w:id="119" w:name="_Ref149649965"/>
      <w:r/>
      <w:bookmarkStart w:id="121" w:name="_Ref149650136"/>
      <w:r>
        <w:t xml:space="preserve">Проведение аукциона</w:t>
      </w:r>
      <w:bookmarkEnd w:id="119"/>
      <w:r/>
      <w:bookmarkEnd w:id="121"/>
      <w:r/>
      <w:bookmarkEnd w:id="397"/>
      <w:r/>
      <w:r/>
    </w:p>
    <w:p>
      <w:pPr>
        <w:pStyle w:val="1124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24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24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24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24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24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24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24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24"/>
      </w:pPr>
      <w:r>
        <w:t xml:space="preserve">Каждая новая ценовая ставка Участника должна быть меньше предыдущей, а также не должна равняться нулю. Изменение стоимости заявки, предла</w:t>
      </w:r>
      <w:r>
        <w:t xml:space="preserve">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 закупке, коммерческих интересов Заказчика.</w:t>
      </w:r>
      <w:r/>
    </w:p>
    <w:p>
      <w:pPr>
        <w:pStyle w:val="1124"/>
      </w:pPr>
      <w:r>
        <w:t xml:space="preserve">Если в ходе аукциона стоимость заявки снижена до нуля, ход аукциона на 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24"/>
      </w:pPr>
      <w:r/>
      <w:bookmarkStart w:id="123" w:name="_Ref149645598"/>
      <w:r>
        <w:t xml:space="preserve">Участники, принявшие участие в процедуре аукциона, обязаны в течение 1 (одного) рабочего дня после завершения аукциона разместить на ЭП полный комплект документов, входящих в ценовое предложение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37"/>
        </w:rPr>
        <w:t xml:space="preserve">Приложением № 6 – Состав заявки</w:t>
      </w:r>
      <w:r>
        <w:rPr>
          <w:rStyle w:val="1137"/>
        </w:rPr>
        <w:fldChar w:fldCharType="end"/>
      </w:r>
      <w:r>
        <w:t xml:space="preserve">, в соответствии с заявленной им в ходе проведения аукциона ценовой ставкой.</w:t>
      </w:r>
      <w:bookmarkEnd w:id="123"/>
      <w:r/>
      <w:r/>
    </w:p>
    <w:p>
      <w:pPr>
        <w:pStyle w:val="1124"/>
      </w:pPr>
      <w:r>
        <w:t xml:space="preserve">Участники, которые н</w:t>
      </w:r>
      <w:r>
        <w:t xml:space="preserve">е приняли участие в процедуре аукциона (не подали ни одного предложения по снижению стоимости заявки – ценовой ставки), считаются не подавшими ценовые предложения, и заявки таких Участников отклоняются на этапе рассмотрения вторых частей заявок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123"/>
      </w:pPr>
      <w:r/>
      <w:bookmarkStart w:id="398" w:name="_Toc26"/>
      <w:r/>
      <w:bookmarkStart w:id="125" w:name="_Ref132801184"/>
      <w:r>
        <w:t xml:space="preserve">Открытие доступа ко вторым частям заявок</w:t>
      </w:r>
      <w:bookmarkEnd w:id="125"/>
      <w:r/>
      <w:bookmarkEnd w:id="398"/>
      <w:r/>
      <w:r/>
    </w:p>
    <w:p>
      <w:pPr>
        <w:pStyle w:val="1124"/>
      </w:pPr>
      <w:r/>
      <w:bookmarkStart w:id="126" w:name="_Hlk149645475"/>
      <w:r>
        <w:t xml:space="preserve">Оператор ЭП в срок, установленный 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направляет в адрес Организатора вторые части заявок Участников, которые приняли участие в процедуре аукциона.</w:t>
      </w:r>
      <w:bookmarkEnd w:id="126"/>
      <w:r/>
      <w:r/>
    </w:p>
    <w:p>
      <w:pPr>
        <w:pStyle w:val="1124"/>
      </w:pPr>
      <w:r>
        <w:t xml:space="preserve">Срок направлен</w:t>
      </w:r>
      <w:r>
        <w:t xml:space="preserve">ия Оператором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– подачи Участниками ценовых предложений.</w:t>
      </w:r>
      <w:r/>
    </w:p>
    <w:p>
      <w:pPr>
        <w:pStyle w:val="1124"/>
      </w:pPr>
      <w:r>
        <w:t xml:space="preserve">Подро</w:t>
      </w:r>
      <w:r>
        <w:t xml:space="preserve">бные правила открытия Организатору доступа ко вторым частям заявок определяются Регламентом ЭП, с использованием которой проводится закупка. Оператор ЭП обеспечивает конфиденциальность сведений содержащихся во вторых частях заявок Участников такой закупки.</w:t>
      </w:r>
      <w:r/>
    </w:p>
    <w:p>
      <w:pPr>
        <w:pStyle w:val="1123"/>
      </w:pPr>
      <w:r/>
      <w:bookmarkStart w:id="399" w:name="_Toc27"/>
      <w:r/>
      <w:bookmarkStart w:id="127" w:name="_Ref132797154"/>
      <w:r>
        <w:t xml:space="preserve">Рассмотрение вторых частей заявок (отборочная стадия), в том числе (при необходимости) проведение аккредитации</w:t>
      </w:r>
      <w:bookmarkEnd w:id="127"/>
      <w:r/>
      <w:bookmarkEnd w:id="399"/>
      <w:r/>
      <w:r/>
    </w:p>
    <w:p>
      <w:pPr>
        <w:pStyle w:val="1124"/>
      </w:pPr>
      <w:r>
        <w:t xml:space="preserve">Дата окончания срока рассмотрения вторых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24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37"/>
        </w:rPr>
        <w:t xml:space="preserve">Отборочным критериям рассмотрения заявок (Приложение № 7)</w:t>
      </w:r>
      <w:r>
        <w:rPr>
          <w:rStyle w:val="1137"/>
        </w:rPr>
        <w:fldChar w:fldCharType="end"/>
      </w:r>
      <w:r>
        <w:t xml:space="preserve">, в том числе проводится процедура аккредитации Участников (при необходимости).</w:t>
      </w:r>
      <w:r/>
    </w:p>
    <w:p>
      <w:pPr>
        <w:pStyle w:val="1124"/>
      </w:pPr>
      <w:r>
        <w:t xml:space="preserve">Рассмотрение вторых частей заявок проводится </w:t>
      </w:r>
      <w:r>
        <w:t xml:space="preserve">на основании представленных в составе заявки документов и сведений. Проверка актуальности и достоверности предоставленных документов и сведений осуществляется с использованием официальных сервисов органов государственной власти, или иным законным способом.</w:t>
      </w:r>
      <w:r/>
    </w:p>
    <w:p>
      <w:pPr>
        <w:pStyle w:val="1124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 следующим основаниям:</w:t>
      </w:r>
      <w:bookmarkEnd w:id="129"/>
      <w:r/>
      <w:r/>
    </w:p>
    <w:p>
      <w:pPr>
        <w:pStyle w:val="1125"/>
      </w:pPr>
      <w:r>
        <w:t xml:space="preserve">несоответствие второй части заявки по составу,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26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26"/>
      </w:pPr>
      <w:r>
        <w:t xml:space="preserve">внутренних противоречий между различными частями и (или) документами второй части заявки и (или) ценового предложения, в том числе по тексту внутри одного документа;</w:t>
      </w:r>
      <w:r/>
    </w:p>
    <w:p>
      <w:pPr>
        <w:pStyle w:val="1126"/>
      </w:pPr>
      <w:r>
        <w:t xml:space="preserve">противоречий между документами заявки и сведениями, указанными Участником в структурированных формах на ЭП;</w:t>
      </w:r>
      <w:r/>
    </w:p>
    <w:p>
      <w:pPr>
        <w:pStyle w:val="1125"/>
      </w:pPr>
      <w:r>
        <w:t xml:space="preserve">несоответствие предлагаемой продукции требованиям Документации о закупке, с учетом представленных во второй части заявки соответствующих подтверждающих документов;</w:t>
      </w:r>
      <w:r/>
    </w:p>
    <w:p>
      <w:pPr>
        <w:pStyle w:val="1125"/>
      </w:pPr>
      <w:r>
        <w:t xml:space="preserve">несоответствие Участников требованиям Документации о закупке;</w:t>
      </w:r>
      <w:r/>
    </w:p>
    <w:p>
      <w:pPr>
        <w:pStyle w:val="1125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25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стоимости заявки – ценовой ставки).</w:t>
      </w:r>
      <w:r/>
    </w:p>
    <w:p>
      <w:pPr>
        <w:pStyle w:val="1124"/>
        <w:keepNext/>
      </w:pPr>
      <w:r>
        <w:t xml:space="preserve">Решение Закупочной комиссии по рассмотрению вторых частей заявок оформляется протоколом, в котором, как минимум, указываются</w:t>
      </w:r>
      <w:r>
        <w:rPr>
          <w:rStyle w:val="951"/>
        </w:rPr>
        <w:footnoteReference w:id="6"/>
      </w:r>
      <w:r>
        <w:t xml:space="preserve">:</w:t>
      </w:r>
      <w:r/>
    </w:p>
    <w:p>
      <w:pPr>
        <w:pStyle w:val="1125"/>
      </w:pPr>
      <w:r>
        <w:t xml:space="preserve">дата подписания протокола;</w:t>
      </w:r>
      <w:r/>
    </w:p>
    <w:p>
      <w:pPr>
        <w:pStyle w:val="112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5"/>
      </w:pPr>
      <w:r>
        <w:t xml:space="preserve">наименования Уч</w:t>
      </w:r>
      <w:r>
        <w:t xml:space="preserve">астников, заявки которых не были отклонены по результатам рассмотрения первых частей заявок, и (или) их идентификационные номера, присваиваемые Оператором ЭП, с указанием стоимости такой заявки (цены Договора), полученной по результатам процедуры аукциона;</w:t>
      </w:r>
      <w:r/>
    </w:p>
    <w:p>
      <w:pPr>
        <w:pStyle w:val="1125"/>
        <w:keepNext/>
      </w:pPr>
      <w:r>
        <w:t xml:space="preserve">результаты рассмотрения вторых частей заявок с указанием, в том числе:</w:t>
      </w:r>
      <w:r/>
    </w:p>
    <w:p>
      <w:pPr>
        <w:pStyle w:val="1126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26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25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24"/>
      </w:pPr>
      <w:r>
        <w:t xml:space="preserve">Протокол рассмотрения вторых частей заявок направляется Организатором Оператору ЭП не позднее 3 (трех) календарных дней с даты подписания такого протокола,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23"/>
      </w:pPr>
      <w:r/>
      <w:bookmarkStart w:id="400" w:name="_Toc28"/>
      <w:r/>
      <w:bookmarkStart w:id="131" w:name="_Ref149656136"/>
      <w:r>
        <w:t xml:space="preserve">Открытие доступа к ценовым предложениям</w:t>
      </w:r>
      <w:bookmarkEnd w:id="131"/>
      <w:r/>
      <w:bookmarkEnd w:id="400"/>
      <w:r/>
      <w:r/>
    </w:p>
    <w:p>
      <w:pPr>
        <w:pStyle w:val="1124"/>
      </w:pPr>
      <w:r>
        <w:t xml:space="preserve">Оператор ЭП, после официального размещения протокола рассмотрения вторых частей заявок, направляет в адрес Организатора 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4.104.10.11</w:t>
      </w:r>
      <w:r>
        <w:fldChar w:fldCharType="end"/>
      </w:r>
      <w:r>
        <w:t xml:space="preserve">, с указанием информации о наименовании всех Участников, подавших ценовые предложения в рамках участия в процедуре аукциона.</w:t>
      </w:r>
      <w:r/>
    </w:p>
    <w:p>
      <w:pPr>
        <w:pStyle w:val="1124"/>
      </w:pPr>
      <w:r>
        <w:t xml:space="preserve">Подробные правила открытия Организатору доступа ко ценовым предложениям определяются Регламентом ЭП, с использованием которой проводится закупка.</w:t>
      </w:r>
      <w:r/>
    </w:p>
    <w:p>
      <w:pPr>
        <w:pStyle w:val="1123"/>
      </w:pPr>
      <w:r/>
      <w:bookmarkStart w:id="401" w:name="_Toc29"/>
      <w:r/>
      <w:bookmarkStart w:id="133" w:name="_Ref149656148"/>
      <w:r>
        <w:t xml:space="preserve">Рассмотрение ценовых предложений (отборочная стадия)</w:t>
      </w:r>
      <w:bookmarkEnd w:id="133"/>
      <w:r/>
      <w:bookmarkEnd w:id="401"/>
      <w:r/>
      <w:r/>
    </w:p>
    <w:p>
      <w:pPr>
        <w:pStyle w:val="1124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37"/>
        </w:rPr>
        <w:t xml:space="preserve">Отборочным критериям рассмотрения заявок (Приложение № 7)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25"/>
      </w:pPr>
      <w:r>
        <w:t xml:space="preserve">в результате суммирования единичных расценок;</w:t>
      </w:r>
      <w:r/>
    </w:p>
    <w:p>
      <w:pPr>
        <w:pStyle w:val="1125"/>
      </w:pPr>
      <w:r>
        <w:t xml:space="preserve">в итогах умножения единичных расценок на объем продукции;</w:t>
      </w:r>
      <w:r/>
    </w:p>
    <w:p>
      <w:pPr>
        <w:pStyle w:val="1125"/>
      </w:pPr>
      <w:r>
        <w:t xml:space="preserve">в вычислении суммы НДС и итоговой стоимости заявки с учетом НДС;</w:t>
      </w:r>
      <w:r/>
    </w:p>
    <w:p>
      <w:pPr>
        <w:pStyle w:val="1125"/>
      </w:pPr>
      <w:r>
        <w:t xml:space="preserve">иных внутренних противоречий в составе заявки,</w:t>
      </w:r>
      <w:r/>
    </w:p>
    <w:p>
      <w:pPr>
        <w:pStyle w:val="1128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</w:t>
      </w:r>
      <w:r>
        <w:t xml:space="preserve">х формах на ЭП и подписанной усиленной квалифицированной электронной подписью уполномоченного лица Участника. При уклонении Участника от заключения договора на вышеуказанных условиях заявка такого Участника подлежит отклонению решением Закупочной комиссии.</w:t>
      </w:r>
      <w:r/>
    </w:p>
    <w:p>
      <w:pPr>
        <w:pStyle w:val="1124"/>
      </w:pPr>
      <w:r/>
      <w:bookmarkStart w:id="134" w:name="_Ref186184210"/>
      <w:r>
        <w:t xml:space="preserve">По результатам рассмот</w:t>
      </w:r>
      <w:r>
        <w:t xml:space="preserve">рения ценовых предложений (проведения отборочной стадии) Закупочная комиссия отклоняет заявки по следующему основанию: 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bookmarkEnd w:id="134"/>
      <w:r/>
      <w:r/>
    </w:p>
    <w:p>
      <w:pPr>
        <w:pStyle w:val="1125"/>
      </w:pPr>
      <w:r>
        <w:t xml:space="preserve">недостоверных сведений</w:t>
      </w:r>
      <w:r>
        <w:rPr>
          <w:rStyle w:val="951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25"/>
      </w:pPr>
      <w:r>
        <w:t xml:space="preserve">внутренних противоречий между различными частями и (или) документами заявки, в том числе по тексту внутри одного документа;</w:t>
      </w:r>
      <w:r/>
    </w:p>
    <w:p>
      <w:pPr>
        <w:pStyle w:val="1125"/>
        <w:rPr>
          <w:color w:val="000000" w:themeColor="text1"/>
        </w:rPr>
      </w:pPr>
      <w:r>
        <w:rPr>
          <w:color w:val="000000" w:themeColor="text1"/>
        </w:rPr>
      </w:r>
      <w:bookmarkStart w:id="135" w:name="_Ref186184209"/>
      <w:r>
        <w:rPr>
          <w:color w:val="000000" w:themeColor="text1"/>
          <w:highlight w:val="none"/>
        </w:rPr>
        <w:t xml:space="preserve">несоответствие предлагаемой продукции требованиям 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 национальном режиме.</w:t>
      </w:r>
      <w:bookmarkEnd w:id="135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24"/>
      </w:pPr>
      <w:r/>
      <w:bookmarkStart w:id="136" w:name="_Ref186184208"/>
      <w:r>
        <w:t xml:space="preserve">Решение Закупочной комиссии по рассмотрению ценовых предложений Участников вносится в итоговый протокол по результатам закупки.</w:t>
      </w:r>
      <w:bookmarkEnd w:id="136"/>
      <w:r/>
      <w:r/>
    </w:p>
    <w:p>
      <w:pPr>
        <w:pStyle w:val="1123"/>
      </w:pPr>
      <w:r/>
      <w:bookmarkStart w:id="402" w:name="_Toc30"/>
      <w:r/>
      <w:bookmarkStart w:id="137" w:name="_Ref125362381"/>
      <w:r/>
      <w:bookmarkStart w:id="138" w:name="_Ref125362464"/>
      <w:r/>
      <w:bookmarkStart w:id="139" w:name="_Ref125362610"/>
      <w:r/>
      <w:bookmarkStart w:id="141" w:name="_Ref125362425"/>
      <w:r>
        <w:t xml:space="preserve">Дополнительные запросы разъяснений заявок</w:t>
      </w:r>
      <w:bookmarkEnd w:id="137"/>
      <w:r/>
      <w:bookmarkEnd w:id="138"/>
      <w:r/>
      <w:bookmarkEnd w:id="139"/>
      <w:r/>
      <w:bookmarkEnd w:id="141"/>
      <w:r/>
      <w:bookmarkEnd w:id="402"/>
      <w:r/>
      <w:r/>
    </w:p>
    <w:p>
      <w:pPr>
        <w:pStyle w:val="1124"/>
      </w:pPr>
      <w:r/>
      <w:bookmarkStart w:id="142" w:name="_Ref125365611"/>
      <w:r>
        <w:t xml:space="preserve">В рамках процедуры рассмотрения заявок (перв</w:t>
      </w:r>
      <w:r>
        <w:t xml:space="preserve">ых частей заявок, вторых частей заявок и ценовых предложений) Организатор вправе направить в адрес Участника дополнительный запрос разъяснений и (или) дополнений его заявки, влияющих на отклонение или оценку и сопоставление его заявки, в следующих случаях:</w:t>
      </w:r>
      <w:bookmarkEnd w:id="142"/>
      <w:r/>
      <w:r/>
    </w:p>
    <w:p>
      <w:pPr>
        <w:pStyle w:val="1125"/>
        <w:keepNext/>
      </w:pPr>
      <w:r>
        <w:t xml:space="preserve">в составе заявки (в какой-либо ее части) отсутствуют, представлены не в полном объеме или в нечитаемом виде документы или сведения, необходимые для определения:</w:t>
      </w:r>
      <w:r/>
    </w:p>
    <w:p>
      <w:pPr>
        <w:pStyle w:val="1126"/>
        <w:numPr>
          <w:ilvl w:val="0"/>
          <w:numId w:val="31"/>
        </w:numPr>
        <w:ind w:left="1701" w:right="0" w:hanging="360"/>
      </w:pPr>
      <w:r>
        <w:t xml:space="preserve">соответствия Участника требованиям Документации о закупке;</w:t>
      </w:r>
      <w:r/>
    </w:p>
    <w:p>
      <w:pPr>
        <w:pStyle w:val="1126"/>
        <w:numPr>
          <w:ilvl w:val="0"/>
          <w:numId w:val="31"/>
        </w:numPr>
        <w:ind w:left="1701" w:right="0" w:hanging="360"/>
      </w:pPr>
      <w:r/>
      <w:bookmarkStart w:id="143" w:name="_Hlk132793683"/>
      <w:r>
        <w:t xml:space="preserve">наличия соответствующих полномочий на подписание заявки от имени Участника у лица, подписавшего заявку</w:t>
      </w:r>
      <w:bookmarkEnd w:id="143"/>
      <w:r>
        <w:t xml:space="preserve">;</w:t>
      </w:r>
      <w:r/>
    </w:p>
    <w:p>
      <w:pPr>
        <w:pStyle w:val="1126"/>
        <w:numPr>
          <w:ilvl w:val="0"/>
          <w:numId w:val="31"/>
        </w:numPr>
        <w:ind w:left="1701" w:right="0" w:hanging="360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Договора;</w:t>
      </w:r>
      <w:r/>
    </w:p>
    <w:p>
      <w:pPr>
        <w:pStyle w:val="1125"/>
      </w:pPr>
      <w:r/>
      <w:bookmarkStart w:id="144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25"/>
      </w:pPr>
      <w:r>
        <w:t xml:space="preserve">в заяв</w:t>
      </w:r>
      <w:r>
        <w:t xml:space="preserve">ке (в какой-либо ее части) имеются разночтения или положения, допускающие неоднозначное толкование, не позволяющие определить соответствие заявки или Участника (в том числе не позволяющие провести в отношении него процедуру аккредитации (при необходимости)</w:t>
      </w:r>
      <w:r>
        <w:rPr>
          <w:rStyle w:val="951"/>
        </w:rPr>
        <w:footnoteReference w:id="8"/>
      </w:r>
      <w:r>
        <w:t xml:space="preserve">) требованиям Документации о закупке или осуществить оценку и сопоставление заявок.</w:t>
      </w:r>
      <w:bookmarkEnd w:id="144"/>
      <w:r/>
      <w:r/>
    </w:p>
    <w:p>
      <w:pPr>
        <w:pStyle w:val="1124"/>
      </w:pPr>
      <w:r>
        <w:t xml:space="preserve">Если в рамках рассмотрения заявок (вторых частей</w:t>
      </w:r>
      <w:r>
        <w:t xml:space="preserve"> заявок), проводится процедура аккредитации, Организатор вправе направить в адрес Участника дополнительный запрос разъяснений и (или) дополнений его заявки, влияющих на прохождение аккредитации таким Участником (в том числе в случае, указанном в подпункте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4.15.1б</w:t>
      </w:r>
      <w:r>
        <w:fldChar w:fldCharType="end"/>
      </w:r>
      <w:r>
        <w:t xml:space="preserve">).</w:t>
      </w:r>
      <w:r/>
    </w:p>
    <w:p>
      <w:pPr>
        <w:pStyle w:val="1124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24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124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направляются Участнику если в соответствии с пунктами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 имеются прямые основания для отклонения заявки такого Участника, не относящиеся к случаям, перечисленным в пункте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4.4.154.15.1</w:t>
      </w:r>
      <w:r>
        <w:fldChar w:fldCharType="end"/>
      </w:r>
      <w:r>
        <w:t xml:space="preserve">.</w:t>
      </w:r>
      <w:r/>
    </w:p>
    <w:p>
      <w:pPr>
        <w:pStyle w:val="1124"/>
      </w:pPr>
      <w:r>
        <w:t xml:space="preserve">Срок предоставления Участниками разъяснений своих заявок устанавливается одинаковый для всех и составляет не менее 2 (двух) рабочих дней с момента направления запроса в адрес Участника.</w:t>
      </w:r>
      <w:r/>
    </w:p>
    <w:p>
      <w:pPr>
        <w:pStyle w:val="1124"/>
      </w:pPr>
      <w:r>
        <w:t xml:space="preserve">Направление О</w:t>
      </w:r>
      <w:r>
        <w:t xml:space="preserve">рганизатором дополнительных запросов и ответов Участников на данные запросы осуществляется с помощью программных и технических средств ЭП в порядке, предусмотренном Регламентом ЭП (ответы Участников, поступившие не через ЭП, к рассмотрению не принимаются).</w:t>
      </w:r>
      <w:r/>
    </w:p>
    <w:p>
      <w:pPr>
        <w:pStyle w:val="1124"/>
      </w:pPr>
      <w:r>
        <w:t xml:space="preserve">Непредставление или представление не в полном объеме запрашиваемых документов и (или) разъяснений в установленный в запросе срок служит основанием для отклонения заявки такого Участника по условиям пунктов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.</w:t>
      </w:r>
      <w:r/>
    </w:p>
    <w:p>
      <w:pPr>
        <w:pStyle w:val="1123"/>
      </w:pPr>
      <w:r/>
      <w:bookmarkStart w:id="403" w:name="_Toc31"/>
      <w:r/>
      <w:bookmarkStart w:id="145" w:name="_Ref125369041"/>
      <w:r/>
      <w:bookmarkStart w:id="146" w:name="_Ref125369308"/>
      <w:r/>
      <w:bookmarkStart w:id="147" w:name="_Ref125365335"/>
      <w:r/>
      <w:bookmarkStart w:id="149" w:name="_Ref125365519"/>
      <w:r/>
      <w:bookmarkStart w:id="150" w:name="_Ref125362626"/>
      <w:r/>
      <w:bookmarkStart w:id="151" w:name="_Ref125366534"/>
      <w:r>
        <w:t xml:space="preserve">Оценка и сопоставление заявок</w:t>
      </w:r>
      <w:bookmarkEnd w:id="145"/>
      <w:r/>
      <w:bookmarkEnd w:id="146"/>
      <w:r/>
      <w:bookmarkEnd w:id="147"/>
      <w:r/>
      <w:bookmarkEnd w:id="149"/>
      <w:r/>
      <w:bookmarkEnd w:id="150"/>
      <w:r/>
      <w:bookmarkEnd w:id="151"/>
      <w:r/>
      <w:bookmarkEnd w:id="403"/>
      <w:r/>
      <w:r/>
    </w:p>
    <w:p>
      <w:pPr>
        <w:pStyle w:val="1124"/>
      </w:pPr>
      <w:r>
        <w:t xml:space="preserve">Оценка, признанных Закупочной комиссией соответствующими по результатам рассмотрения заявок (первых частей заявок, вторых частей заявок и ценовых предложений) осуществляется в соответствии с </w:t>
      </w:r>
      <w:r>
        <w:fldChar w:fldCharType="begin"/>
      </w:r>
      <w:r>
        <w:instrText xml:space="preserve"> HYPERLINK \l "Прил08_ПорядокОценки" \o "#Прил08_ПорядокОценки" </w:instrText>
      </w:r>
      <w:r>
        <w:fldChar w:fldCharType="separate"/>
      </w:r>
      <w:r>
        <w:rPr>
          <w:rStyle w:val="1137"/>
        </w:rPr>
        <w:t xml:space="preserve">Порядком и критериями оценки и сопоставления заявок (Приложение № 8)</w:t>
      </w:r>
      <w:r>
        <w:rPr>
          <w:rStyle w:val="1137"/>
        </w:rPr>
        <w:fldChar w:fldCharType="end"/>
      </w:r>
      <w:r>
        <w:t xml:space="preserve">, то есть:</w:t>
      </w:r>
      <w:r/>
    </w:p>
    <w:p>
      <w:pPr>
        <w:pStyle w:val="1125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25"/>
      </w:pPr>
      <w:r>
        <w:t xml:space="preserve">в едином базисе без учета НДС.</w:t>
      </w:r>
      <w:r/>
    </w:p>
    <w:p>
      <w:pPr>
        <w:pStyle w:val="1124"/>
      </w:pPr>
      <w:r>
        <w:t xml:space="preserve">Оценка и сопоставление заявок, а также их ранжировка, осуществляется с учетом применения законодательства о национальном режиме, в т.ч. ПП 1875 (подраздел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24"/>
      </w:pPr>
      <w:r>
        <w:t xml:space="preserve">По результатам оценки заявок Закупочная комиссия в течение</w:t>
      </w:r>
      <w:r>
        <w:t xml:space="preserve"> 1 (одного) рабочего дня осуществляет их сопоставление – 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951"/>
        </w:rPr>
        <w:footnoteReference w:id="9"/>
      </w:r>
      <w:r>
        <w:t xml:space="preserve">.</w:t>
      </w:r>
      <w:bookmarkStart w:id="152" w:name="_Ref125369991"/>
      <w:r/>
      <w:bookmarkStart w:id="153" w:name="_Ref130458671"/>
      <w:r/>
      <w:bookmarkStart w:id="154" w:name="_Ref125370507"/>
      <w:r/>
      <w:bookmarkStart w:id="155" w:name="_Ref125366064"/>
      <w:r/>
      <w:r/>
    </w:p>
    <w:p>
      <w:pPr>
        <w:pStyle w:val="1124"/>
      </w:pPr>
      <w:r/>
      <w:bookmarkStart w:id="156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23"/>
      </w:pPr>
      <w:r/>
      <w:bookmarkStart w:id="404" w:name="_Toc32"/>
      <w:r/>
      <w:bookmarkStart w:id="161" w:name="_Ref149648944"/>
      <w:r/>
      <w:bookmarkStart w:id="163" w:name="_Ref186183588"/>
      <w:r>
        <w:t xml:space="preserve">Применение законодательства о национальном режиме</w:t>
      </w:r>
      <w:bookmarkEnd w:id="161"/>
      <w:r/>
      <w:bookmarkEnd w:id="163"/>
      <w:r/>
      <w:bookmarkEnd w:id="404"/>
      <w:r/>
      <w:r/>
    </w:p>
    <w:p>
      <w:pPr>
        <w:pStyle w:val="1124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/>
    </w:p>
    <w:p>
      <w:pPr>
        <w:pStyle w:val="112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запрета закупки иностранной продукции, то не допу</w:t>
      </w:r>
      <w:r>
        <w:t xml:space="preserve">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_Ref186184210 \n  \h</w:instrText>
      </w:r>
      <w:r>
        <w:rPr>
          <w:color w:val="000000" w:themeColor="text1"/>
        </w:rPr>
        <w:fldChar w:fldCharType="separate"/>
      </w:r>
      <w:r>
        <w:t xml:space="preserve">4.14.3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2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_Ref186184210 \n  \h</w:instrText>
      </w:r>
      <w:r>
        <w:rPr>
          <w:color w:val="000000" w:themeColor="text1"/>
        </w:rPr>
        <w:fldChar w:fldCharType="separate"/>
      </w:r>
      <w:r>
        <w:t xml:space="preserve">4.14.3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2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951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24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3"/>
      </w:pPr>
      <w:r/>
      <w:bookmarkStart w:id="405" w:name="_Toc33"/>
      <w:r/>
      <w:bookmarkStart w:id="168" w:name="_Ref125362658"/>
      <w:r/>
      <w:bookmarkStart w:id="169" w:name="_Ref125367242"/>
      <w:r/>
      <w:bookmarkStart w:id="170" w:name="_Ref125366091"/>
      <w:r>
        <w:t xml:space="preserve">Подведение итогов закупки (определение Победителя)</w:t>
      </w:r>
      <w:bookmarkEnd w:id="168"/>
      <w:r/>
      <w:bookmarkEnd w:id="169"/>
      <w:r/>
      <w:bookmarkEnd w:id="170"/>
      <w:r/>
      <w:bookmarkEnd w:id="405"/>
      <w:r/>
      <w:r/>
    </w:p>
    <w:p>
      <w:pPr>
        <w:pStyle w:val="1124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24"/>
      </w:pPr>
      <w:r>
        <w:t xml:space="preserve">Н</w:t>
      </w:r>
      <w:r>
        <w:t xml:space="preserve">а основании полученных результатов оценки и сопоставления заявок Организатор подводит итоги закупки. Победителем закупки признается Участник, заявка которого заняла 1 (первое) место в ранжировке заявок по итогам рассмотрения, оценки и сопоставления заявок.</w:t>
      </w:r>
      <w:r/>
    </w:p>
    <w:p>
      <w:pPr>
        <w:pStyle w:val="1124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 (шести) календарных месяцев с даты присвоения</w:t>
      </w:r>
      <w:r>
        <w:t xml:space="preserve"> ему статуса «аккредитован» / «аккредитация не требуется», перед окончательным определением Победителя проводится процедура актуализации статуса аккредитации данного Участника. Если по результатам такой проверки Участнику присвоен статус «не аккредитован»,</w:t>
      </w:r>
      <w:r>
        <w:t xml:space="preserve"> его заявка отклоняется, а Закупочная комиссия имеет право выбрать в качестве Победителя иного Участника, занявшего следующее после него место в ранжировке заявок, из числа остальных действующих заявок (при наличии у него актуального статуса аккредитации).</w:t>
      </w:r>
      <w:r/>
    </w:p>
    <w:p>
      <w:pPr>
        <w:pStyle w:val="1124"/>
        <w:keepNext/>
      </w:pPr>
      <w:r/>
      <w:bookmarkStart w:id="171" w:name="_Ref125365974"/>
      <w:r>
        <w:t xml:space="preserve">Решение Закупочной комиссии по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951"/>
        </w:rPr>
        <w:footnoteReference w:id="11"/>
      </w:r>
      <w:r>
        <w:t xml:space="preserve">:</w:t>
      </w:r>
      <w:bookmarkEnd w:id="171"/>
      <w:r/>
      <w:r/>
    </w:p>
    <w:p>
      <w:pPr>
        <w:pStyle w:val="1125"/>
      </w:pPr>
      <w:r>
        <w:t xml:space="preserve">дата подписания протокола;</w:t>
      </w:r>
      <w:r/>
    </w:p>
    <w:p>
      <w:pPr>
        <w:pStyle w:val="112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5"/>
      </w:pPr>
      <w:r>
        <w:t xml:space="preserve">наименования Участников, заявки которых были допущены по результатам рассмотрения вторых частей заявок, и (или) их идентификационные номера, присваиваемые Оператором ЭП;</w:t>
      </w:r>
      <w:r/>
    </w:p>
    <w:p>
      <w:pPr>
        <w:pStyle w:val="1125"/>
        <w:keepNext/>
      </w:pPr>
      <w:r>
        <w:t xml:space="preserve">результаты рассмотрения ценовых предложений Участников с указанием, в том числе:</w:t>
      </w:r>
      <w:r/>
    </w:p>
    <w:p>
      <w:pPr>
        <w:pStyle w:val="1126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результатам рассмотрения ценовых предложений);</w:t>
      </w:r>
      <w:r/>
    </w:p>
    <w:p>
      <w:pPr>
        <w:pStyle w:val="1126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25"/>
      </w:pPr>
      <w:r>
        <w:t xml:space="preserve">результаты дополнительного рассмотрения заявок (при возникновении оснований для отклонения заявок по результатам проведения актуализации статуса аккредитации, если такая процедура проводились) с указанием, в том числе:</w:t>
      </w:r>
      <w:r/>
    </w:p>
    <w:p>
      <w:pPr>
        <w:pStyle w:val="1126"/>
      </w:pPr>
      <w:r>
        <w:t xml:space="preserve">количества заявок, которые были отклонены;</w:t>
      </w:r>
      <w:r/>
    </w:p>
    <w:p>
      <w:pPr>
        <w:pStyle w:val="1126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25"/>
      </w:pPr>
      <w:r>
        <w:t xml:space="preserve">порядковые номе</w:t>
      </w:r>
      <w:r>
        <w:t xml:space="preserve">ра каждой заявки (с указанием стоимостей заявок (цен Договоров), не отклоненной по результатам рассмотрения ценовых предложений, в том числе с учетом результатов актуализации статуса аккредитации (если указанная процедура проводилась), в ранжировке заявок;</w:t>
      </w:r>
      <w:r/>
    </w:p>
    <w:p>
      <w:pPr>
        <w:pStyle w:val="1125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25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28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24"/>
      </w:pPr>
      <w:r>
        <w:t xml:space="preserve">Победитель дополнительно уведомляется о результатах проводимой закупки с использованием ЭП – уведомление направляется Оператором ЭП согласно Регламенту ЭП.</w:t>
      </w:r>
      <w:r/>
    </w:p>
    <w:p>
      <w:pPr>
        <w:pStyle w:val="1124"/>
      </w:pPr>
      <w:r>
        <w:t xml:space="preserve">Если между официа</w:t>
      </w:r>
      <w:r>
        <w:t xml:space="preserve">льным размещением итогового протокола по результатам закупки и подписанием Договора изменится Победитель (например, вследствие уклонения Победителя или потери им статуса), информация о новом Победителе официально размещается Организатором в том же порядке.</w:t>
      </w:r>
      <w:r/>
    </w:p>
    <w:p>
      <w:pPr>
        <w:pStyle w:val="1124"/>
      </w:pPr>
      <w:r>
        <w:t xml:space="preserve">Любой Участник после официального размещения итоговог</w:t>
      </w:r>
      <w:r>
        <w:t xml:space="preserve">о протокола по результатам закупки вправе направить Организатору запрос о разъяснении результатов рассмотрения и (или) оценки и сопоставления своей заявки в порядке, аналогичном порядку направления запросов на разъяснение Документации о закупке (подраздел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 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52"/>
      <w:r/>
      <w:bookmarkEnd w:id="153"/>
      <w:r/>
      <w:bookmarkEnd w:id="154"/>
      <w:r/>
      <w:bookmarkEnd w:id="155"/>
      <w:r/>
      <w:bookmarkEnd w:id="156"/>
      <w:r/>
      <w:r/>
    </w:p>
    <w:p>
      <w:pPr>
        <w:pStyle w:val="1123"/>
      </w:pPr>
      <w:r/>
      <w:bookmarkStart w:id="406" w:name="_Toc34"/>
      <w:r/>
      <w:bookmarkStart w:id="172" w:name="_Ref125365305"/>
      <w:r/>
      <w:bookmarkStart w:id="174" w:name="_Ref125366631"/>
      <w:r/>
      <w:bookmarkStart w:id="175" w:name="_Ref125364187"/>
      <w:r/>
      <w:bookmarkStart w:id="176" w:name="_Ref125365570"/>
      <w:r/>
      <w:bookmarkStart w:id="177" w:name="_Ref125364149"/>
      <w:r/>
      <w:bookmarkStart w:id="178" w:name="_Ref125366796"/>
      <w:r>
        <w:t xml:space="preserve">Признание закупки несостоявшейся</w:t>
      </w:r>
      <w:bookmarkEnd w:id="172"/>
      <w:r/>
      <w:bookmarkEnd w:id="174"/>
      <w:r/>
      <w:bookmarkEnd w:id="175"/>
      <w:r/>
      <w:bookmarkEnd w:id="176"/>
      <w:r/>
      <w:bookmarkEnd w:id="177"/>
      <w:r/>
      <w:bookmarkEnd w:id="178"/>
      <w:r/>
      <w:bookmarkEnd w:id="406"/>
      <w:r/>
      <w:r/>
    </w:p>
    <w:p>
      <w:pPr>
        <w:pStyle w:val="1124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25"/>
      </w:pPr>
      <w:r>
        <w:t xml:space="preserve">если по окончанию срока подачи заявок поступило менее 2 (двух) заявок (с учетом возможных отзывов заявок);</w:t>
      </w:r>
      <w:r/>
    </w:p>
    <w:p>
      <w:pPr>
        <w:pStyle w:val="1125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25"/>
      </w:pPr>
      <w:r>
        <w:t xml:space="preserve">по результатам проведения процедуры аукциона не поступило ни одного ценового предложения Участника – ценовой ставки;</w:t>
      </w:r>
      <w:r/>
    </w:p>
    <w:p>
      <w:pPr>
        <w:pStyle w:val="1125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25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24"/>
      </w:pPr>
      <w:r>
        <w:t xml:space="preserve">Указанные обстоятельства в случае их наступления фиксируются в соответствующем протоколе, оформляемом по результатам проведения закупки (или ее этапа).</w:t>
      </w:r>
      <w:r/>
    </w:p>
    <w:p>
      <w:pPr>
        <w:pStyle w:val="1124"/>
        <w:keepNext/>
      </w:pPr>
      <w:r>
        <w:t xml:space="preserve">В случае признания закупки несостоявшейся Заказчик вправе (с учетом условий, предусмотренных Положением о закупке):</w:t>
      </w:r>
      <w:r/>
    </w:p>
    <w:p>
      <w:pPr>
        <w:pStyle w:val="1125"/>
      </w:pPr>
      <w:r>
        <w:t xml:space="preserve">принять решение о проведении повторной закупки (в том числе с возможностью снятия признака закупки только среди субъектов МСП);</w:t>
      </w:r>
      <w:r/>
    </w:p>
    <w:p>
      <w:pPr>
        <w:pStyle w:val="1125"/>
      </w:pPr>
      <w:r>
        <w:t xml:space="preserve">заключить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отказаться от дополнительного повторного проведения данной закупки (при отсутствии заявок, соответствующих установленным требованиям, по результатам повторного проведения закупки).</w:t>
      </w:r>
      <w:r/>
    </w:p>
    <w:p>
      <w:pPr>
        <w:pStyle w:val="1123"/>
      </w:pPr>
      <w:r/>
      <w:bookmarkStart w:id="407" w:name="_Toc35"/>
      <w:r/>
      <w:bookmarkStart w:id="179" w:name="_Ref126141962"/>
      <w:r/>
      <w:bookmarkStart w:id="180" w:name="_Ref132816134"/>
      <w:r/>
      <w:bookmarkStart w:id="181" w:name="_Ref132816141"/>
      <w:r>
        <w:t xml:space="preserve">Отказ от проведения закупки</w:t>
      </w:r>
      <w:bookmarkEnd w:id="179"/>
      <w:r>
        <w:t xml:space="preserve"> (отмена закупки)</w:t>
      </w:r>
      <w:bookmarkEnd w:id="180"/>
      <w:r/>
      <w:bookmarkEnd w:id="181"/>
      <w:r/>
      <w:bookmarkEnd w:id="407"/>
      <w:r/>
      <w:r/>
    </w:p>
    <w:p>
      <w:pPr>
        <w:pStyle w:val="1124"/>
      </w:pPr>
      <w:r>
        <w:t xml:space="preserve">Организатор имеет право отказаться от проведения закупки не позднее окончания срока подачи заявок, 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24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24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 гражданским законодательством.</w:t>
      </w:r>
      <w:r/>
    </w:p>
    <w:p>
      <w:pPr>
        <w:pStyle w:val="1123"/>
      </w:pPr>
      <w:r/>
      <w:bookmarkStart w:id="408" w:name="_Toc36"/>
      <w:r/>
      <w:bookmarkStart w:id="183" w:name="_Ref130455226"/>
      <w:r/>
      <w:bookmarkStart w:id="185" w:name="_Ref130225422"/>
      <w:r/>
      <w:bookmarkStart w:id="186" w:name="_Ref125366769"/>
      <w:r/>
      <w:bookmarkStart w:id="187" w:name="_Ref125363439"/>
      <w:r/>
      <w:bookmarkStart w:id="188" w:name="_Ref125362671"/>
      <w:r/>
      <w:bookmarkStart w:id="189" w:name="_Ref125367087"/>
      <w:r/>
      <w:bookmarkStart w:id="190" w:name="_Ref125361212"/>
      <w:r/>
      <w:bookmarkStart w:id="191" w:name="_Ref125367083"/>
      <w:r>
        <w:t xml:space="preserve">Особенности проведения закупки с необходимостью обеспечения заявки</w:t>
      </w:r>
      <w:bookmarkEnd w:id="183"/>
      <w:r/>
      <w:bookmarkEnd w:id="408"/>
      <w:r/>
      <w:r/>
    </w:p>
    <w:p>
      <w:pPr>
        <w:pStyle w:val="1124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предусмотрена обязанность Участников предоставить обеспечение заявки на участие в закупке.</w:t>
      </w:r>
      <w:r/>
    </w:p>
    <w:p>
      <w:pPr>
        <w:pStyle w:val="1124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24"/>
      </w:pPr>
      <w:r>
        <w:t xml:space="preserve">Обязательства Участников, связанные с подачей заявок, обеспечиваются в форме, порядке и размере в соответствии с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24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951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 финансовой устойчивости (в то</w:t>
      </w:r>
      <w:r>
        <w:t xml:space="preserve">м числе в части собственных средств (капитала), активов, доходности, ликвидности, структуры собственности), устанавливаемым Правительством Российской Федерации, а также наличия соответствующего соглашения об интеграции и обмене информацией с Оператором ЭП.</w:t>
      </w:r>
      <w:r/>
    </w:p>
    <w:p>
      <w:pPr>
        <w:pStyle w:val="1124"/>
      </w:pPr>
      <w:r>
        <w:t xml:space="preserve">В течение 1 (одного) часа с 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Оператор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</w:t>
      </w:r>
      <w:r>
        <w:t xml:space="preserve">вки. Банк в течение 1 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ЭП.</w:t>
      </w:r>
      <w:r/>
    </w:p>
    <w:p>
      <w:pPr>
        <w:pStyle w:val="1124"/>
      </w:pPr>
      <w:r>
        <w:t xml:space="preserve">Блокирование денежных средств не осуществ</w:t>
      </w:r>
      <w:r>
        <w:t xml:space="preserve">ляется в случае отсутствия на специальном банковском счете Участника денежных средств в требуемом размере, либо в случае приостановления операций по такому счету в соответствии с законодательством, о чем Оператор ЭП информируется в течение 1 (одного) часа.</w:t>
      </w:r>
      <w:r/>
    </w:p>
    <w:p>
      <w:pPr>
        <w:pStyle w:val="1124"/>
      </w:pPr>
      <w:r>
        <w:t xml:space="preserve">Если блокирование денежных средств не может быть осуществлено, Оператор ЭП возвращае</w:t>
      </w:r>
      <w:r>
        <w:t xml:space="preserve">т заявку подавшему ее Участнику в течение 1 (одного) часа с момента получения соответствующей информации от банка. Такая заявка автоматически отклоняется Оператором ЭП от дальнейшего участия в закупке, а сведения о ней не направляются в адрес Организатора.</w:t>
      </w:r>
      <w:r/>
    </w:p>
    <w:p>
      <w:pPr>
        <w:pStyle w:val="1124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 РФ, а также следующих условий:</w:t>
      </w:r>
      <w:r/>
    </w:p>
    <w:p>
      <w:pPr>
        <w:pStyle w:val="1125"/>
      </w:pPr>
      <w:r>
        <w:t xml:space="preserve">независимая гарантия должна быть безотзывной и безусловной (гарантия по первому требованию);</w:t>
      </w:r>
      <w:r/>
    </w:p>
    <w:p>
      <w:pPr>
        <w:pStyle w:val="1125"/>
      </w:pPr>
      <w:r>
        <w:t xml:space="preserve">сумма независимой гарантии должна быть выражена в российских рублях и составлять не менее суммы,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;</w:t>
      </w:r>
      <w:r/>
    </w:p>
    <w:p>
      <w:pPr>
        <w:pStyle w:val="1125"/>
      </w:pPr>
      <w:r>
        <w:t xml:space="preserve">бенефициаром в независимой гарантии должен быть указан Заказчик, принципалом – Участник, гарантом – организация, выдавшая независимую гарантию (подпункт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4.(4.21(4.21.8(л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в независимой гарантии должно быть предусмотрено условие об обязанности гаранта уплатить Заказчику (бенефициару) денежную сумму по независимой гарантии не поздн</w:t>
      </w:r>
      <w:r>
        <w:t xml:space="preserve">ее 10 (десяти) рабочих дней со 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ГК РФ оснований для отказа в удовлетворении этого требования;</w:t>
      </w:r>
      <w:r/>
    </w:p>
    <w:p>
      <w:pPr>
        <w:pStyle w:val="1125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 требованием об уплате денежной суммы по независимой гарантии, в случае установления такого перечня Правительством Российской Федерации;</w:t>
      </w:r>
      <w:r/>
    </w:p>
    <w:p>
      <w:pPr>
        <w:pStyle w:val="1125"/>
      </w:pPr>
      <w:r>
        <w:t xml:space="preserve">в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независимая гарантия не должна содержать условие о предоставлении Заказчиком гаранту судебных актов, подтверждающих неисполнение Участником обязательств, обеспечиваемых независимой гарантией;</w:t>
      </w:r>
      <w:r/>
    </w:p>
    <w:p>
      <w:pPr>
        <w:pStyle w:val="1125"/>
      </w:pPr>
      <w:r>
        <w:t xml:space="preserve">в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 (пункт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независимая гарантия должна сод</w:t>
      </w:r>
      <w:r>
        <w:t xml:space="preserve">ержать условия, предусмотренные Законом 223-ФЗ, а также соответствовать дополнительным требованиям к независимой гарантии, используемой для целей проведения конкурентных закупок с участием субъектов МСП, устанавливаемым Правительством Российской Федерации;</w:t>
      </w:r>
      <w:r/>
    </w:p>
    <w:p>
      <w:pPr>
        <w:pStyle w:val="1125"/>
      </w:pPr>
      <w: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неисполнимым;</w:t>
      </w:r>
      <w:r/>
    </w:p>
    <w:p>
      <w:pPr>
        <w:pStyle w:val="1125"/>
      </w:pPr>
      <w:r/>
      <w:bookmarkStart w:id="192" w:name="_Ref132716380"/>
      <w:r>
        <w:t xml:space="preserve">независимая гарантия должна быть выдана организацией из числа указанных в части 1 статьи 45 Закона 44-ФЗ;</w:t>
      </w:r>
      <w:bookmarkEnd w:id="192"/>
      <w:r/>
      <w:r/>
    </w:p>
    <w:p>
      <w:pPr>
        <w:pStyle w:val="1125"/>
      </w:pPr>
      <w:r>
        <w:t xml:space="preserve">независимая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 758) (Публикация Международной торговой палаты № 758).</w:t>
      </w:r>
      <w:r>
        <w:t xml:space="preserve"> Редакция 2010 года» в той мере, в какой указанные правила не противоречат императивным нормам законодательства, а также предусматривать Арбитражный суд по месту нахождения Заказчика в качестве органа, компетентного разрешать споры из независимой гарантии;</w:t>
      </w:r>
      <w:r/>
    </w:p>
    <w:p>
      <w:pPr>
        <w:pStyle w:val="1125"/>
      </w:pPr>
      <w:r>
        <w:t xml:space="preserve">информация о независимой гарантии должна быть включена в реестр независимых гарантий, предусмотренный частью 8 статьи </w:t>
      </w:r>
      <w:r>
        <w:rPr>
          <w:lang w:val="en-US"/>
        </w:rPr>
        <w:t xml:space="preserve">4</w:t>
      </w:r>
      <w:r>
        <w:t xml:space="preserve">5 Закона 44</w:t>
      </w:r>
      <w:r>
        <w:noBreakHyphen/>
      </w:r>
      <w:r>
        <w:t xml:space="preserve">ФЗ.</w:t>
      </w:r>
      <w:r/>
    </w:p>
    <w:p>
      <w:pPr>
        <w:pStyle w:val="1124"/>
      </w:pPr>
      <w:r>
        <w:t xml:space="preserve">В случае выбора Участником обеспечения заявки путем предоставления независимой гарантии он должен предоставить в составе своей заявки к</w:t>
      </w:r>
      <w:r>
        <w:t xml:space="preserve">опию такой гарантии, подтверждающую наличие обеспечения заявки в требуемом размере и соответствующую требованиям к условиям такой гарантии. В противном случае обеспечение заявки считается невнесенным, и Организатор обязан отклонить заявку такого Участника.</w:t>
      </w:r>
      <w:r/>
    </w:p>
    <w:p>
      <w:pPr>
        <w:pStyle w:val="1124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24"/>
      </w:pPr>
      <w:r>
        <w:t xml:space="preserve">При многолотовой закупке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</w:t>
      </w:r>
      <w:r>
        <w:t xml:space="preserve">, на которые Участник подает заявку; также допускается внесение обеспечения отдельно по каждому из лотов. Удержание Организатором обеспечения может производиться только по тем лотам, на которые Участник подал заявку и по которым он был признан Победителем.</w:t>
      </w:r>
      <w:r/>
    </w:p>
    <w:p>
      <w:pPr>
        <w:pStyle w:val="1124"/>
      </w:pPr>
      <w:r>
        <w:t xml:space="preserve">Подать заявку (принять участие в закупке) могут только Участники, предоставившие надлежащее обеспечение их заявок.</w:t>
      </w:r>
      <w:r/>
    </w:p>
    <w:p>
      <w:pPr>
        <w:pStyle w:val="1124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24"/>
        <w:keepNext/>
      </w:pPr>
      <w:r/>
      <w:bookmarkStart w:id="193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3"/>
      <w:r/>
      <w:r/>
    </w:p>
    <w:p>
      <w:pPr>
        <w:pStyle w:val="1125"/>
      </w:pPr>
      <w:r>
        <w:t xml:space="preserve">обязательство заключить Договор в установленном Документацией о закупке порядке (раздел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предоставить Сведения о цепочке собственников, включая бенефициаров (в том числе конечных)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 № 5</w:t>
      </w:r>
      <w:r>
        <w:rPr>
          <w:rStyle w:val="1137"/>
        </w:rPr>
        <w:fldChar w:fldCharType="end"/>
      </w:r>
      <w:r>
        <w:t xml:space="preserve">), а также предоставить иные документы в соответствии с условиями 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5.5.2</w:t>
      </w:r>
      <w:r>
        <w:fldChar w:fldCharType="end"/>
      </w:r>
      <w:r>
        <w:t xml:space="preserve">;</w:t>
      </w:r>
      <w:r/>
    </w:p>
    <w:p>
      <w:pPr>
        <w:pStyle w:val="1125"/>
      </w:pPr>
      <w:r>
        <w:t xml:space="preserve">обязательство предоставить до заключения договора Заказчику обеспечение исполнения договора – если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 договора (Приложение № 2)</w:t>
      </w:r>
      <w:r>
        <w:rPr>
          <w:rStyle w:val="1137"/>
        </w:rPr>
        <w:fldChar w:fldCharType="end"/>
      </w:r>
      <w:r>
        <w:t xml:space="preserve"> предусматривает обеспечение исполнения договора с соответствующими обязательствами (в порядке и сроки, предусмотренные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Проектом договора</w:t>
      </w:r>
      <w:r>
        <w:rPr>
          <w:rStyle w:val="1137"/>
        </w:rPr>
        <w:fldChar w:fldCharType="end"/>
      </w:r>
      <w:r>
        <w:t xml:space="preserve">).</w:t>
      </w:r>
      <w:r/>
    </w:p>
    <w:p>
      <w:pPr>
        <w:pStyle w:val="1124"/>
      </w:pPr>
      <w:r>
        <w:t xml:space="preserve">В случае невыполнения Победителем указанных выше обязательств Организатор вправе удержать обеспечение заявки путем </w:t>
      </w:r>
      <w:r>
        <w:t xml:space="preserve">обращения в соответствующую организацию-гарант. При этом в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банком-гарантом на счет Заказчика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r/>
    </w:p>
    <w:p>
      <w:pPr>
        <w:pStyle w:val="1124"/>
        <w:keepNext/>
      </w:pPr>
      <w:r>
        <w:t xml:space="preserve">Возврат обеспечения заявки (в случае предоставления Участником обеспечения в виде денежных средств) осуществляется Организатором в срок не более 7 (семи) рабочих дней с даты:</w:t>
      </w:r>
      <w:r/>
    </w:p>
    <w:p>
      <w:pPr>
        <w:pStyle w:val="1125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25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25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25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25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24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23"/>
      </w:pPr>
      <w:r/>
      <w:bookmarkStart w:id="409" w:name="_Toc37"/>
      <w:r/>
      <w:bookmarkStart w:id="194" w:name="_Ref149317181"/>
      <w:r>
        <w:t xml:space="preserve">Особенности проведения многолотовой закупки</w:t>
      </w:r>
      <w:bookmarkEnd w:id="185"/>
      <w:r/>
      <w:bookmarkEnd w:id="194"/>
      <w:r/>
      <w:bookmarkEnd w:id="409"/>
      <w:r/>
      <w:r/>
    </w:p>
    <w:p>
      <w:pPr>
        <w:pStyle w:val="1124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24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24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24"/>
      </w:pPr>
      <w:r>
        <w:t xml:space="preserve">Участник может подать одну заявку на любой лот, любые несколько лотов или все лоты по собственному выбору.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 В многолотовой закупке подача Участником по одной заявке на каждый лот, не считается подачей второй заявки на закупку.</w:t>
      </w:r>
      <w:r/>
    </w:p>
    <w:p>
      <w:pPr>
        <w:pStyle w:val="1124"/>
        <w:keepNext/>
      </w:pPr>
      <w:r>
        <w:t xml:space="preserve">В случае подачи заявки на несколько лотов дополнительно должны быть соблюдены следующие требования:</w:t>
      </w:r>
      <w:r/>
    </w:p>
    <w:p>
      <w:pPr>
        <w:pStyle w:val="1125"/>
      </w:pPr>
      <w:r>
        <w:t xml:space="preserve">Письмо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 должно содержать указание номера и названия каждого лота;</w:t>
      </w:r>
      <w:r/>
    </w:p>
    <w:p>
      <w:pPr>
        <w:pStyle w:val="1125"/>
      </w:pPr>
      <w:r>
        <w:t xml:space="preserve">Коммерческое предложение (форма 3), Техническое предложение (форма 4), Календарный график (форма 5), План распределения объемов поставки продукции (форма 11) –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, должны быть подготовлены отдельно по каждому из лотов с указанием номера и названия лота.</w:t>
      </w:r>
      <w:r/>
    </w:p>
    <w:p>
      <w:pPr>
        <w:pStyle w:val="1124"/>
      </w:pPr>
      <w:r>
        <w:t xml:space="preserve">Решения, принимаемые в ходе процедуры закупки, в том числе ре</w:t>
      </w:r>
      <w:r>
        <w:t xml:space="preserve">шения в рамках рассмотрения (первых частей заявок, вторых частей заявок и ценовых предложений), оценки и сопоставления заявок, определения Победителя, признания закупки несостоявшейся, отказа от дальнейшего ее проведения и т.д., осуществляются раздельно и </w:t>
      </w:r>
      <w:r>
        <w:t xml:space="preserve">независимо по каждому из лотов. При этом Организатор вправе оформить по каждому лоту отдельный протокол закупки или сформировать общий по всем лотам протокол закупки, в который в отношении каждого лота вносятся сведения, подлежащие официальному размещению.</w:t>
      </w:r>
      <w:r/>
    </w:p>
    <w:p>
      <w:pPr>
        <w:pStyle w:val="1122"/>
      </w:pPr>
      <w:r/>
      <w:bookmarkStart w:id="410" w:name="_Toc38"/>
      <w:r/>
      <w:bookmarkStart w:id="200" w:name="_Ref126142429"/>
      <w:r/>
      <w:bookmarkStart w:id="201" w:name="_Ref130224037"/>
      <w:r>
        <w:t xml:space="preserve">Порядок заключения Договора</w:t>
      </w:r>
      <w:bookmarkEnd w:id="186"/>
      <w:r/>
      <w:bookmarkEnd w:id="187"/>
      <w:r/>
      <w:bookmarkEnd w:id="188"/>
      <w:r/>
      <w:bookmarkEnd w:id="189"/>
      <w:r/>
      <w:bookmarkEnd w:id="190"/>
      <w:r/>
      <w:bookmarkEnd w:id="191"/>
      <w:r/>
      <w:bookmarkEnd w:id="200"/>
      <w:r/>
      <w:bookmarkEnd w:id="201"/>
      <w:r/>
      <w:bookmarkEnd w:id="410"/>
      <w:r/>
      <w:r/>
    </w:p>
    <w:p>
      <w:pPr>
        <w:pStyle w:val="1123"/>
      </w:pPr>
      <w:r/>
      <w:bookmarkStart w:id="411" w:name="_Toc39"/>
      <w:r/>
      <w:bookmarkStart w:id="204" w:name="_Ref125366947"/>
      <w:r/>
      <w:bookmarkStart w:id="205" w:name="_Ref125368755"/>
      <w:r>
        <w:t xml:space="preserve">Общие положения</w:t>
      </w:r>
      <w:bookmarkEnd w:id="411"/>
      <w:r/>
      <w:r/>
    </w:p>
    <w:p>
      <w:pPr>
        <w:pStyle w:val="1124"/>
      </w:pPr>
      <w:r>
        <w:t xml:space="preserve">Нормы настоящего раздела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23"/>
      </w:pPr>
      <w:r/>
      <w:bookmarkStart w:id="412" w:name="_Toc40"/>
      <w:r/>
      <w:bookmarkStart w:id="207" w:name="_Ref138341423"/>
      <w:r>
        <w:t xml:space="preserve">Заключение Договора</w:t>
      </w:r>
      <w:bookmarkEnd w:id="204"/>
      <w:r/>
      <w:bookmarkEnd w:id="205"/>
      <w:r/>
      <w:bookmarkEnd w:id="207"/>
      <w:r/>
      <w:bookmarkEnd w:id="412"/>
      <w:r/>
      <w:r/>
    </w:p>
    <w:p>
      <w:pPr>
        <w:pStyle w:val="1124"/>
      </w:pPr>
      <w:r/>
      <w:bookmarkStart w:id="208" w:name="_Ref125362935"/>
      <w:r/>
      <w:bookmarkStart w:id="209" w:name="_Ref130293821"/>
      <w:r>
        <w:t xml:space="preserve">Договор между Заказчиком и Победителем заключается не ранее чем через 10 (десять) календарных дней и не позднее чем через 20 (двадцать) календарных дней с даты официального размещения итогового протокола по результатам закупки.</w:t>
      </w:r>
      <w:bookmarkEnd w:id="208"/>
      <w:r/>
      <w:bookmarkEnd w:id="209"/>
      <w:r/>
      <w:r/>
    </w:p>
    <w:p>
      <w:pPr>
        <w:pStyle w:val="1124"/>
      </w:pPr>
      <w:r>
        <w:t xml:space="preserve">Договор не может быть заключен, если это запрещено законодательством о 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24"/>
      </w:pPr>
      <w:r/>
      <w:bookmarkStart w:id="210" w:name="_Ref125363464"/>
      <w:r>
        <w:t xml:space="preserve">В целях заключения Договора Участник, признанный Победителем, обязан в срок не позднее 3 (трех) рабочих дней с даты официального размещения Организатором итогового протокола по результатам закупки, направить по адресу,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место подачи документов в отношении цепочки собственников, включая конечных бенефициаров, Справку о цепочке собственников, включая бенефициаров (в том числе конечных), по форме в соответствии с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Приложением № 5</w:t>
      </w:r>
      <w:r>
        <w:rPr>
          <w:rStyle w:val="1137"/>
        </w:rPr>
        <w:fldChar w:fldCharType="end"/>
      </w:r>
      <w:r>
        <w:t xml:space="preserve">, с приложением подтверждающих д</w:t>
      </w:r>
      <w:r>
        <w:t xml:space="preserve">окументов согласно перечню, установленному в Приложении 1 к указанной справке. Данные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собственников».</w:t>
      </w:r>
      <w:bookmarkEnd w:id="210"/>
      <w:r/>
      <w:r/>
    </w:p>
    <w:p>
      <w:pPr>
        <w:pStyle w:val="1124"/>
      </w:pPr>
      <w:r>
        <w:t xml:space="preserve">В срок не позднее 3 (трех) рабочих дней с даты официального размещения Организатором итогового протокола по результатам закупки, Победитель обязан предоставить Заказчику (скан-копия в формате </w:t>
      </w:r>
      <w:r>
        <w:rPr>
          <w:lang w:val="en-US"/>
        </w:rPr>
        <w:t xml:space="preserve">pdf</w:t>
      </w:r>
      <w:r>
        <w:t xml:space="preserve">) Заверение об 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Приложением № 5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  <w:keepNext/>
      </w:pPr>
      <w:r/>
      <w:bookmarkStart w:id="211" w:name="_Ref125551072"/>
      <w:r>
        <w:t xml:space="preserve">Перед заключением Договора Победитель обязан предоставить Заказчику,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, в целях подтверждения своего соответствия обязательному требованию к Участникам, указанному в пункте </w:t>
      </w:r>
      <w:r>
        <w:fldChar w:fldCharType="begin"/>
      </w:r>
      <w:r>
        <w:instrText xml:space="preserve"> REF _Ref125552433 \w \h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 </w:t>
      </w:r>
      <w:r>
        <w:fldChar w:fldCharType="begin"/>
      </w:r>
      <w:r>
        <w:instrText xml:space="preserve"> REF _Ref125361435 \w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 (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Приложение № 3</w:t>
      </w:r>
      <w:r>
        <w:rPr>
          <w:rStyle w:val="1137"/>
        </w:rPr>
        <w:fldChar w:fldCharType="end"/>
      </w:r>
      <w:r>
        <w:t xml:space="preserve">), следующие документы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11"/>
      <w:r/>
      <w:r/>
    </w:p>
    <w:p>
      <w:pPr>
        <w:pStyle w:val="1125"/>
        <w:keepNext/>
      </w:pPr>
      <w:r>
        <w:t xml:space="preserve">для юридического лица:</w:t>
      </w:r>
      <w:r/>
    </w:p>
    <w:p>
      <w:pPr>
        <w:pStyle w:val="1126"/>
      </w:pPr>
      <w:r>
        <w:t xml:space="preserve">копия устава в действующей редакции с отметкой ИФНС либо копия нотариально заверенного устава (с отметкой нотариуса);</w:t>
      </w:r>
      <w:r/>
    </w:p>
    <w:p>
      <w:pPr>
        <w:pStyle w:val="1126"/>
      </w:pPr>
      <w:r/>
      <w:bookmarkStart w:id="212" w:name="_Ref125638686"/>
      <w:r>
        <w:t xml:space="preserve">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 передаче полномочий Управляющей компании), заверенные Победителем;</w:t>
      </w:r>
      <w:bookmarkEnd w:id="212"/>
      <w:r/>
      <w:r/>
    </w:p>
    <w:p>
      <w:pPr>
        <w:pStyle w:val="1126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договор;</w:t>
      </w:r>
      <w:r/>
    </w:p>
    <w:p>
      <w:pPr>
        <w:pStyle w:val="1125"/>
      </w:pPr>
      <w:r>
        <w:t xml:space="preserve">для лица, зарегистрированного вне Российской Федерации: выписка из торгового реестра страны регистрации иностранного Участника;</w:t>
      </w:r>
      <w:r/>
    </w:p>
    <w:p>
      <w:pPr>
        <w:pStyle w:val="1125"/>
      </w:pPr>
      <w:r>
        <w:t xml:space="preserve">для физического лица: нотариально заверенная копия всех страниц документа, удостоверяющего личность (паспорта).</w:t>
      </w:r>
      <w:r>
        <w:rPr>
          <w:strike/>
          <w:color w:val="ff0000"/>
        </w:rPr>
      </w:r>
      <w:r/>
    </w:p>
    <w:p>
      <w:pPr>
        <w:pStyle w:val="1124"/>
      </w:pPr>
      <w:r>
        <w:t xml:space="preserve">Если в соответствии с законодательством и уставом Заказчика потребуется предварительное одобрение заключаемого </w:t>
      </w:r>
      <w:r>
        <w:t xml:space="preserve">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 (пять) календарных дней с даты указанного одобрения.</w:t>
      </w:r>
      <w:r/>
    </w:p>
    <w:p>
      <w:pPr>
        <w:pStyle w:val="1124"/>
      </w:pPr>
      <w:r>
        <w:t xml:space="preserve">В случае обжалования</w:t>
      </w:r>
      <w:r>
        <w:t xml:space="preserve"> в антимонопольном органе результатов закупки Договор заключается не позднее чем через 5 (пять) календарных дней с даты вынесения решения антимонопольного органа по результатам такого обжалования (за исключением случая возврата на предыдущий этап закупки).</w:t>
      </w:r>
      <w:r/>
    </w:p>
    <w:p>
      <w:pPr>
        <w:pStyle w:val="1124"/>
        <w:keepNext/>
      </w:pPr>
      <w:r/>
      <w:bookmarkStart w:id="214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4"/>
      <w:r/>
      <w:r/>
    </w:p>
    <w:p>
      <w:pPr>
        <w:pStyle w:val="1125"/>
      </w:pPr>
      <w:r>
        <w:t xml:space="preserve">итоговый протокол по результатам закупки;</w:t>
      </w:r>
      <w:r/>
    </w:p>
    <w:p>
      <w:pPr>
        <w:pStyle w:val="1125"/>
      </w:pPr>
      <w:r>
        <w:t xml:space="preserve">Извещение и Документация о закупке со всеми изменениями;</w:t>
      </w:r>
      <w:r/>
    </w:p>
    <w:p>
      <w:pPr>
        <w:pStyle w:val="1125"/>
      </w:pPr>
      <w:r>
        <w:t xml:space="preserve">заявка Победителя со всеми дополнениями и разъяснениями.</w:t>
      </w:r>
      <w:r/>
    </w:p>
    <w:p>
      <w:pPr>
        <w:pStyle w:val="1124"/>
      </w:pPr>
      <w:r>
        <w:t xml:space="preserve">Договор согласовывается и заключается с использованием функционала ЭП, в том числе подписывается усиленной квалифицированной электронной подписью уполномоченного лица Победителя и Заказчика соответственно.</w:t>
      </w:r>
      <w:r/>
    </w:p>
    <w:p>
      <w:pPr>
        <w:pStyle w:val="1124"/>
      </w:pPr>
      <w:r>
        <w:t xml:space="preserve">В течение установленного в пункте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с использованием функционала ЭП направляет в адрес Победителя заполненный со своей стороны проект Договора.</w:t>
      </w:r>
      <w:r/>
    </w:p>
    <w:p>
      <w:pPr>
        <w:pStyle w:val="1124"/>
      </w:pPr>
      <w:r/>
      <w:bookmarkStart w:id="215" w:name="_Ref49437111"/>
      <w:r>
        <w:t xml:space="preserve">В</w:t>
      </w:r>
      <w:r>
        <w:t xml:space="preserve"> случае наличия у Победителя разногласий по направленному Заказчиком проекту Договора, Победитель составляет Протокол разногласий с указанием в нем своих замечаний к положениям проекта Договора, не соответствующим условиям настоящей Документации о закупке </w:t>
      </w:r>
      <w:r>
        <w:t xml:space="preserve">и (или) заявке Победителя (с приведением ссылок на конкретные пункты / положения данных документов, которым они не соответствуют). Протокол разногласий направляется Заказчику с использованием функционала ЭП. После рассмотрения указанного протокола разногла</w:t>
      </w:r>
      <w:r>
        <w:t xml:space="preserve">сий Заказчик вправе направить Победителю доработанный проект Договора либо повторно направить исходный проект Договора с указанием в отдельном документе причин отказа учесть полностью или частично замечания, содержащиеся в протоколе разногласий Победителя.</w:t>
      </w:r>
      <w:bookmarkEnd w:id="215"/>
      <w:r/>
      <w:r/>
    </w:p>
    <w:p>
      <w:pPr>
        <w:pStyle w:val="1124"/>
      </w:pPr>
      <w:r/>
      <w:bookmarkStart w:id="216" w:name="_Ref125368506"/>
      <w:r>
        <w:t xml:space="preserve">Сведения о заключенном Договоре в течение 3 (трех) рабочих дней со дня заключения такого Договора на ЭП вносятся Оператором ЭП в Реестр договоров в ЕИС (если размещение таких сведений допустимо Законом 223-ФЗ). Если при заключении и исполн</w:t>
      </w:r>
      <w:r>
        <w:t xml:space="preserve">ении Договора изменятся количество, объем, цена закупаемой продукции или сроки исполнения Договора (по сравнению с указанными в итоговом протоколе по результатам закупки), то в течение 10 (десяти) календарных дней со дня внесения таких изменений в Договор </w:t>
      </w:r>
      <w:bookmarkStart w:id="217" w:name="_Hlk132806825"/>
      <w:r>
        <w:t xml:space="preserve">соответствующая информация с указанием измененных условий Договора также размещается в ЕИС (если размещение таких сведений допустимо Законом 223-ФЗ)</w:t>
      </w:r>
      <w:bookmarkEnd w:id="217"/>
      <w:r>
        <w:t xml:space="preserve">.</w:t>
      </w:r>
      <w:bookmarkEnd w:id="216"/>
      <w:r/>
      <w:r/>
    </w:p>
    <w:p>
      <w:pPr>
        <w:pStyle w:val="1124"/>
      </w:pPr>
      <w:r>
        <w:t xml:space="preserve">Если до момента заключения с Договора в отн</w:t>
      </w:r>
      <w:r>
        <w:t xml:space="preserve">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 результатам такой проверки ему присвоен статус «не аккредитован», то он утрачивает статус Победителя, а</w:t>
      </w:r>
      <w:r>
        <w:t xml:space="preserve"> Закупочная комиссия имеет право выбрать в качестве Победителя иного Участника, занявшего следующее место в ранжировке заявок после Победителя, из числа остальных действующих заявок (при наличии у него статуса «аккредитован» / «аккредитация не требуется»).</w:t>
      </w:r>
      <w:r/>
    </w:p>
    <w:p>
      <w:pPr>
        <w:pStyle w:val="1123"/>
      </w:pPr>
      <w:r/>
      <w:bookmarkStart w:id="413" w:name="_Toc41"/>
      <w:r/>
      <w:bookmarkStart w:id="219" w:name="_Ref125367068"/>
      <w:r>
        <w:t xml:space="preserve">Уклонение Победителя от заключения Договора</w:t>
      </w:r>
      <w:bookmarkEnd w:id="219"/>
      <w:r/>
      <w:bookmarkEnd w:id="413"/>
      <w:r/>
      <w:r/>
    </w:p>
    <w:p>
      <w:pPr>
        <w:pStyle w:val="1124"/>
        <w:keepNext/>
      </w:pPr>
      <w:r>
        <w:t xml:space="preserve">Если Победитель закупки:</w:t>
      </w:r>
      <w:r/>
    </w:p>
    <w:p>
      <w:pPr>
        <w:pStyle w:val="1125"/>
      </w:pPr>
      <w:r>
        <w:t xml:space="preserve">не подпишет Договор в установленные Документацией о закупке сроки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5.25.2.1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откажется от подписания Договора на условиях, определяемых в соответствии с пунктом </w:t>
      </w:r>
      <w:r>
        <w:fldChar w:fldCharType="begin"/>
      </w:r>
      <w:r>
        <w:instrText xml:space="preserve"> REF _Ref132288402 \r \h  \* MERGEFORMAT </w:instrText>
      </w:r>
      <w:r>
        <w:fldChar w:fldCharType="separate"/>
      </w:r>
      <w:r>
        <w:t xml:space="preserve">5.25.2.8</w:t>
      </w:r>
      <w:r>
        <w:fldChar w:fldCharType="end"/>
      </w:r>
      <w:r>
        <w:t xml:space="preserve">;</w:t>
      </w:r>
      <w:r/>
    </w:p>
    <w:p>
      <w:pPr>
        <w:pStyle w:val="1125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 № 5</w:t>
      </w:r>
      <w:r>
        <w:rPr>
          <w:rStyle w:val="1137"/>
        </w:rPr>
        <w:fldChar w:fldCharType="end"/>
      </w:r>
      <w:r>
        <w:t xml:space="preserve">), с приложением подтверждающих документов;</w:t>
      </w:r>
      <w:r/>
    </w:p>
    <w:p>
      <w:pPr>
        <w:pStyle w:val="1125"/>
      </w:pPr>
      <w:r>
        <w:t xml:space="preserve">не предоставит Заверение об 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Приложением № 5</w:t>
      </w:r>
      <w:r>
        <w:rPr>
          <w:rStyle w:val="1137"/>
        </w:rPr>
        <w:fldChar w:fldCharType="end"/>
      </w:r>
      <w:r>
        <w:t xml:space="preserve">;</w:t>
      </w:r>
      <w:r/>
    </w:p>
    <w:p>
      <w:pPr>
        <w:pStyle w:val="1125"/>
      </w:pPr>
      <w:r>
        <w:t xml:space="preserve">не предоставит копии документов, обязательных к предоставлению Победителем закупки в соответствии с требованиями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Приложения № 1 – Технические требования</w:t>
      </w:r>
      <w:r>
        <w:rPr>
          <w:rStyle w:val="1137"/>
        </w:rPr>
        <w:fldChar w:fldCharType="end"/>
      </w:r>
      <w:r>
        <w:t xml:space="preserve"> (в случае установления таковых);</w:t>
      </w:r>
      <w:r/>
    </w:p>
    <w:p>
      <w:pPr>
        <w:pStyle w:val="1125"/>
      </w:pPr>
      <w:r>
        <w:t xml:space="preserve">не предоставит обеспечение исполнения договора до момента его заключения, если Документация о закупке предусматривает обеспечение исполнения договора с соответствующими обязательствами;</w:t>
      </w:r>
      <w:r/>
    </w:p>
    <w:p>
      <w:pPr>
        <w:pStyle w:val="1125"/>
      </w:pPr>
      <w:r>
        <w:t xml:space="preserve">не выполнит другие условия, прямо предусмотренные Документацией о закупке,</w:t>
      </w:r>
      <w:r/>
    </w:p>
    <w:p>
      <w:pPr>
        <w:pStyle w:val="1128"/>
        <w:ind w:left="1134"/>
      </w:pPr>
      <w:r>
        <w:t xml:space="preserve">то он (по истечению установленных в подразделе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Договора)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22"/>
      </w:pPr>
      <w:r/>
      <w:bookmarkStart w:id="414" w:name="_Toc42"/>
      <w:r/>
      <w:bookmarkStart w:id="220" w:name="_Ref125363600"/>
      <w:r/>
      <w:bookmarkStart w:id="221" w:name="_Ref125363016"/>
      <w:r/>
      <w:bookmarkStart w:id="222" w:name="_Ref125363023"/>
      <w:r/>
      <w:bookmarkStart w:id="223" w:name="_Ref125363034"/>
      <w:r/>
      <w:bookmarkStart w:id="224" w:name="_Ref125370732"/>
      <w:r/>
      <w:bookmarkStart w:id="226" w:name="_Ref125363752"/>
      <w:r/>
      <w:bookmarkStart w:id="227" w:name="_Ref125370843"/>
      <w:r/>
      <w:bookmarkStart w:id="228" w:name="_Ref125370750"/>
      <w:r/>
      <w:bookmarkStart w:id="229" w:name="_Ref125364201"/>
      <w:r/>
      <w:bookmarkStart w:id="230" w:name="_Ref125370741"/>
      <w:r/>
      <w:bookmarkStart w:id="231" w:name="Прил01_ТехТребования"/>
      <w:r/>
      <w:bookmarkStart w:id="232" w:name="_Ref125370746"/>
      <w:r/>
      <w:bookmarkStart w:id="233" w:name="_Ref125364088"/>
      <w:r>
        <w:t xml:space="preserve">Приложение № 1 – Технические требования</w:t>
      </w:r>
      <w:bookmarkEnd w:id="220"/>
      <w:r/>
      <w:bookmarkEnd w:id="221"/>
      <w:r/>
      <w:bookmarkEnd w:id="222"/>
      <w:r/>
      <w:bookmarkEnd w:id="223"/>
      <w:r/>
      <w:bookmarkEnd w:id="224"/>
      <w:r/>
      <w:bookmarkEnd w:id="226"/>
      <w:r/>
      <w:bookmarkEnd w:id="227"/>
      <w:r/>
      <w:bookmarkEnd w:id="228"/>
      <w:r/>
      <w:bookmarkEnd w:id="229"/>
      <w:r/>
      <w:bookmarkEnd w:id="230"/>
      <w:r/>
      <w:bookmarkEnd w:id="231"/>
      <w:r/>
      <w:bookmarkEnd w:id="232"/>
      <w:r/>
      <w:bookmarkEnd w:id="233"/>
      <w:r/>
      <w:bookmarkEnd w:id="414"/>
      <w:r/>
      <w:r/>
    </w:p>
    <w:p>
      <w:pPr>
        <w:pStyle w:val="1123"/>
      </w:pPr>
      <w:r/>
      <w:bookmarkStart w:id="415" w:name="_Toc43"/>
      <w:r>
        <w:t xml:space="preserve">Пояснения к Техническим требованиям</w:t>
      </w:r>
      <w:bookmarkEnd w:id="415"/>
      <w:r/>
      <w:r/>
    </w:p>
    <w:p>
      <w:pPr>
        <w:pStyle w:val="1124"/>
      </w:pPr>
      <w:r>
        <w:t xml:space="preserve">Технические требования к закупаемой продукции приведены в отдельном файле (предоставляются отдельным документом в составе Документации о закупке), являющимся Приложением № 1 к Документации о закупке.</w:t>
      </w:r>
      <w:r/>
    </w:p>
    <w:p>
      <w:pPr>
        <w:pStyle w:val="1122"/>
      </w:pPr>
      <w:r/>
      <w:bookmarkStart w:id="416" w:name="_Toc44"/>
      <w:r/>
      <w:bookmarkStart w:id="235" w:name="_Ref125364206"/>
      <w:r/>
      <w:bookmarkStart w:id="236" w:name="_Ref125363605"/>
      <w:r/>
      <w:bookmarkStart w:id="237" w:name="_Ref125363759"/>
      <w:r/>
      <w:bookmarkStart w:id="238" w:name="_Ref125363040"/>
      <w:r/>
      <w:bookmarkStart w:id="239" w:name="_Ref125370754"/>
      <w:r/>
      <w:bookmarkStart w:id="240" w:name="Прил02_ПроектДоговора"/>
      <w:r/>
      <w:bookmarkStart w:id="241" w:name="_Ref125361746"/>
      <w:r/>
      <w:bookmarkStart w:id="243" w:name="_Ref125364081"/>
      <w:r>
        <w:t xml:space="preserve">Приложение № 2 – Проект договора</w:t>
      </w:r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3"/>
      <w:r/>
      <w:bookmarkEnd w:id="416"/>
      <w:r/>
      <w:r/>
    </w:p>
    <w:p>
      <w:pPr>
        <w:pStyle w:val="1123"/>
      </w:pPr>
      <w:r/>
      <w:bookmarkStart w:id="417" w:name="_Toc45"/>
      <w:r>
        <w:t xml:space="preserve">Пояснения к Проекту договора</w:t>
      </w:r>
      <w:bookmarkEnd w:id="417"/>
      <w:r/>
      <w:r/>
    </w:p>
    <w:p>
      <w:pPr>
        <w:pStyle w:val="1124"/>
      </w:pPr>
      <w:r>
        <w:t xml:space="preserve">Проект договора, заключаемого по результатам закупки, приведен в отдельном файле (предоставляется отдельным документом в составе Документации о закупке), являющимся Приложением № 2 к Документации о закупке.</w:t>
      </w:r>
      <w:r/>
    </w:p>
    <w:p>
      <w:pPr>
        <w:pStyle w:val="1124"/>
      </w:pPr>
      <w:r>
        <w:t xml:space="preserve">Все положения Проекта договора являются существенными условиями для Заказчика, за исключением пунктов договора, указанных 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«Некритичные пункты Проекта договора».</w:t>
      </w:r>
      <w:r/>
    </w:p>
    <w:p>
      <w:pPr>
        <w:pStyle w:val="1124"/>
      </w:pPr>
      <w:r>
        <w:t xml:space="preserve">В 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5.5.25.2.11</w:t>
      </w:r>
      <w:r>
        <w:fldChar w:fldCharType="end"/>
      </w:r>
      <w:r>
        <w:t xml:space="preserve"> Заказчик оставляет за собой право рассмотреть и принять пе</w:t>
      </w:r>
      <w:r>
        <w:t xml:space="preserve">ред подписанием Договора предложения и дополнительные (не носящие принципиального характера) изменения к Договору. Если Стороны не придут к соглашению об этих изменениях, они будут обязаны подписать Договор на условиях, изложенных в Документации о закупке.</w:t>
      </w:r>
      <w:r/>
    </w:p>
    <w:p>
      <w:pPr>
        <w:pStyle w:val="1124"/>
      </w:pPr>
      <w:r>
        <w:t xml:space="preserve">Одновременно с подписанием Сторонами Договора или не позднее 3 (трех) рабочих дней после подписания Договора, Сторонами должно быть подписано дополнительное соглашение, форма кото</w:t>
      </w:r>
      <w:r>
        <w:t xml:space="preserve">рого приведена в отдельном файле в формате Microsoft Word (предоставляется отдельным документом в составе Документации о закупке), касающееся вопросов подтверждения Участником информации о цепочке собственников, включая бенефициаров (в том числе конечных):</w:t>
      </w:r>
      <w:r/>
    </w:p>
    <w:p>
      <w:pPr>
        <w:pStyle w:val="1128"/>
        <w:jc w:val="center"/>
      </w:pPr>
      <w:r/>
      <w:bookmarkStart w:id="245" w:name="_MON_1736255517"/>
      <w:r/>
      <w:bookmarkEnd w:id="2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0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28"/>
      </w:pPr>
      <w:r/>
      <w:r/>
    </w:p>
    <w:p>
      <w:pPr>
        <w:pStyle w:val="112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418" w:name="_Toc46"/>
      <w:r/>
      <w:bookmarkStart w:id="246" w:name="_Ref125365476"/>
      <w:r/>
      <w:bookmarkStart w:id="248" w:name="_Ref125361908"/>
      <w:r/>
      <w:bookmarkStart w:id="249" w:name="Прил03_ТребованияУчастникам"/>
      <w:r/>
      <w:bookmarkStart w:id="250" w:name="_Ref125370013"/>
      <w:r/>
      <w:bookmarkStart w:id="251" w:name="_Ref125361494"/>
      <w:r>
        <w:t xml:space="preserve">Приложение № 3 – Требования к Участникам</w:t>
      </w:r>
      <w:bookmarkEnd w:id="246"/>
      <w:r/>
      <w:bookmarkEnd w:id="248"/>
      <w:r/>
      <w:bookmarkEnd w:id="249"/>
      <w:r/>
      <w:bookmarkEnd w:id="250"/>
      <w:r/>
      <w:bookmarkEnd w:id="251"/>
      <w:r/>
      <w:bookmarkEnd w:id="418"/>
      <w:r/>
      <w:r/>
    </w:p>
    <w:p>
      <w:pPr>
        <w:pStyle w:val="1123"/>
      </w:pPr>
      <w:r/>
      <w:bookmarkStart w:id="419" w:name="_Toc47"/>
      <w:r>
        <w:t xml:space="preserve">Пояснения к требованиям к Участникам</w:t>
      </w:r>
      <w:bookmarkEnd w:id="419"/>
      <w:r/>
      <w:r/>
    </w:p>
    <w:p>
      <w:pPr>
        <w:pStyle w:val="1124"/>
      </w:pPr>
      <w:r/>
      <w:bookmarkStart w:id="253" w:name="_Hlk125628168"/>
      <w:r>
        <w:t xml:space="preserve">Чтобы претендовать на победу </w:t>
      </w:r>
      <w:r>
        <w:t xml:space="preserve">в закупке и получение права заключить Договор с Заказчиком, Участник самостоятельно</w:t>
      </w:r>
      <w:r>
        <w:t xml:space="preserve"> в целом должен отвечать нижеуказанным требованиям и включить в состав заявки документы, подтверждающие его соответствие установленным требованиям.</w:t>
      </w:r>
      <w:bookmarkEnd w:id="253"/>
      <w:r/>
      <w:r/>
    </w:p>
    <w:p>
      <w:pPr>
        <w:pStyle w:val="1123"/>
        <w:spacing w:after="120"/>
      </w:pPr>
      <w:r/>
      <w:bookmarkStart w:id="420" w:name="_Toc48"/>
      <w:r/>
      <w:bookmarkStart w:id="254" w:name="_Ref125361926"/>
      <w:r/>
      <w:bookmarkStart w:id="255" w:name="_Ref125370071"/>
      <w:r/>
      <w:bookmarkStart w:id="257" w:name="_Ref125361590"/>
      <w:r/>
      <w:bookmarkStart w:id="258" w:name="_Ref125370058"/>
      <w:r/>
      <w:bookmarkStart w:id="259" w:name="_Ref125366879"/>
      <w:r/>
      <w:bookmarkStart w:id="260" w:name="_Ref125368812"/>
      <w:r/>
      <w:bookmarkStart w:id="261" w:name="_Ref125370064"/>
      <w:r/>
      <w:bookmarkStart w:id="262" w:name="_Ref125361435"/>
      <w:r/>
      <w:bookmarkStart w:id="263" w:name="_Ref125361832"/>
      <w:r/>
      <w:bookmarkStart w:id="264" w:name="_Ref125361846"/>
      <w:r/>
      <w:bookmarkStart w:id="265" w:name="_Ref125369088"/>
      <w:r/>
      <w:bookmarkStart w:id="266" w:name="_Ref125368895"/>
      <w:r/>
      <w:bookmarkStart w:id="267" w:name="_Ref125361617"/>
      <w:r>
        <w:t xml:space="preserve">Обязательные требования</w:t>
      </w:r>
      <w:bookmarkEnd w:id="254"/>
      <w:r/>
      <w:bookmarkEnd w:id="255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420"/>
      <w:r/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8" w:name="_Ref125552433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Участник должен о</w:t>
            </w:r>
            <w:r>
              <w:t xml:space="preserve">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 (файл в формате *.pdf) оригинала соответствующей доверенности либо ее нотариально заверенной копии (с указанием правомочий на подписание заявки);</w:t>
            </w:r>
            <w:r/>
          </w:p>
          <w:p>
            <w:pPr>
              <w:pStyle w:val="1128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аккредитации: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«а</w:t>
            </w:r>
            <w:r>
              <w:t xml:space="preserve">ккредитация не требуется» (в соответствии с ранее направленными сведениями для включения записи в Реестр аккредитации), и при отсутствии (с момента подачи им Заявки на аккредитацию) изменений, оказывающих влияние на соответствие его критериям аккредитации </w:t>
            </w:r>
            <w:r>
              <w:t xml:space="preserve">(на 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предоставление Заявки на аккредитацию не требуется;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</w:t>
            </w:r>
            <w:r>
              <w:t xml:space="preserve">«аккредитация не требуется» (в соответствии с ранее направленными сведениями для включения записи в Реестр аккредитации), и при наличии (с момента подачи Заявки на аккредитацию) изменений, оказывающих влияние на соответствие его критериям аккредитации (на </w:t>
            </w:r>
            <w:r>
              <w:t xml:space="preserve">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декларация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 и обновленная Заявка на 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10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(при условии, что Уч</w:t>
            </w:r>
            <w:r>
              <w:t xml:space="preserve">астник ранее направил Заявку на 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аккредитации)) – декларация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(не проходил ранее процедуру аккредитации) или наличия у Участника статуса «не аккредитован» (по результатам ранее пройденной процедуры аккредитации), а также для л</w:t>
            </w:r>
            <w:r>
              <w:t xml:space="preserve">иц, указанных в пункте 3.11 Положения об аккредитации (аккредитация не требуется), но которые ранее не направляли соответствующие сведения для включения записи в Реестр аккредитации – Заявка на 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10</w:t>
            </w:r>
            <w:r>
              <w:rPr>
                <w:rStyle w:val="1137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8"/>
              <w:ind w:left="284"/>
              <w:spacing w:before="60" w:after="60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 государственном информационном ресурсе бухга</w:t>
            </w:r>
            <w:r>
              <w:t xml:space="preserve">лтерской (финансовой) отчетности организаций (https://bo.nalog.ru), к Заявке на аккредитацию также прилагается электронная копия бухгалтерского баланса (ОКУД 0710001) и отчета о финансовых результатах (ОКУД 0710002) за последний завершенный финансовый год,</w:t>
            </w:r>
            <w:r>
              <w:t xml:space="preserve"> с отметкой налогового органа о приеме или с приложением квитанции о приеме и (или) извещения о вводе сведений налоговым органом. Указанные документы не являются обязательными к подаче в рамках процедуры аккредитации и предоставляются по желанию Участника.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9" w:name="_Ref13289366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Декларация о соответствии Участника данному требованию в составе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(В рамках 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</w:t>
            </w:r>
            <w:r>
              <w:rPr>
                <w:i/>
                <w:iCs/>
              </w:rPr>
              <w:t xml:space="preserve"> специальный налоговый режим «Налог на профессиональный доход», наличие информации на официальном сайте федерального органа исполнительной власти, уполномоченного по контролю и надзору в области налогов и сборов, о применении ими такого налогового режима.)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0" w:name="_Ref139029906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Сведения об Участнике должны отсутствовать в 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</w:t>
            </w:r>
            <w:r>
              <w:rPr>
                <w:rStyle w:val="951"/>
              </w:rPr>
              <w:footnoteReference w:id="13"/>
            </w:r>
            <w:r>
              <w:t xml:space="preserve">, а также Участник не должен являться подконтрольной организацией данных юридических лиц</w:t>
            </w:r>
            <w:r>
              <w:rPr>
                <w:rStyle w:val="951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и (или) перед заключением договора Организатор проверяет наличие информации об Участнике в пе</w:t>
            </w:r>
            <w:r>
              <w:rPr>
                <w:i/>
                <w:iCs/>
              </w:rPr>
              <w:t xml:space="preserve">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 «О мерах по реализации Указа Президента Российской Федерации от 3 мая 2022 г. N 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1" w:name="_Ref186184202"/>
            <w:r/>
            <w:bookmarkEnd w:id="27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</w:t>
            </w:r>
            <w:r>
              <w:t xml:space="preserve"> режим запрета закупки иностранной продукции и предметом закупки является оказание услуг и (или) выполнение работ (в том числе с поставкой товаров при выполнении закупаемых работ и 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2" w:name="_Ref186184207"/>
            <w:r/>
            <w:bookmarkEnd w:id="27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</w:t>
            </w:r>
            <w:r>
              <w:t xml:space="preserve">является оказание услуг и (или) выполнение работ (в том числе с поставкой товаров при выполнении закупаемых работ и (или) оказании закупаемых услуг), то 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23"/>
        <w:spacing w:after="120"/>
      </w:pPr>
      <w:r/>
      <w:bookmarkStart w:id="421" w:name="_Toc49"/>
      <w:r/>
      <w:bookmarkStart w:id="273" w:name="_Ref125361442"/>
      <w:r/>
      <w:bookmarkStart w:id="274" w:name="_Ref125368916"/>
      <w:r/>
      <w:bookmarkStart w:id="275" w:name="_Ref125367539"/>
      <w:r/>
      <w:bookmarkStart w:id="276" w:name="_Ref125365459"/>
      <w:r/>
      <w:bookmarkStart w:id="277" w:name="_Ref125369099"/>
      <w:r/>
      <w:bookmarkStart w:id="278" w:name="_Ref125361869"/>
      <w:r/>
      <w:bookmarkStart w:id="279" w:name="_Ref125709401"/>
      <w:r/>
      <w:bookmarkStart w:id="280" w:name="_Ref125370079"/>
      <w:r/>
      <w:bookmarkStart w:id="281" w:name="_Ref125368901"/>
      <w:r/>
      <w:bookmarkStart w:id="282" w:name="_Ref125709250"/>
      <w:r/>
      <w:bookmarkStart w:id="284" w:name="_Ref125361633"/>
      <w:r/>
      <w:bookmarkStart w:id="285" w:name="_Ref125361671"/>
      <w:r/>
      <w:bookmarkStart w:id="286" w:name="_Ref125361937"/>
      <w:r/>
      <w:bookmarkStart w:id="287" w:name="_Ref125367521"/>
      <w:r/>
      <w:bookmarkStart w:id="288" w:name="_Ref125368818"/>
      <w:r/>
      <w:bookmarkStart w:id="289" w:name="_Ref125709153"/>
      <w:r/>
      <w:bookmarkStart w:id="290" w:name="_Ref125709888"/>
      <w:r>
        <w:t xml:space="preserve">Специальные требования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421"/>
      <w:r/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0"/>
              </w:numPr>
              <w:ind w:left="284" w:firstLine="0"/>
              <w:jc w:val="center"/>
              <w:spacing w:before="60" w:after="60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</w:tr>
    </w:tbl>
    <w:p>
      <w:pPr>
        <w:pStyle w:val="1123"/>
        <w:spacing w:after="120"/>
      </w:pPr>
      <w:r/>
      <w:bookmarkStart w:id="422" w:name="_Toc50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61823"/>
      <w:r/>
      <w:bookmarkStart w:id="308" w:name="_Ref125362031"/>
      <w:r/>
      <w:bookmarkStart w:id="309" w:name="_Ref125709777"/>
      <w:r/>
      <w:bookmarkStart w:id="310" w:name="_Ref125370209"/>
      <w:r/>
      <w:bookmarkStart w:id="311" w:name="_Ref125709973"/>
      <w:r>
        <w:t xml:space="preserve">Дополнительные требования к Генеральным подрядчикам</w:t>
      </w:r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422"/>
      <w:r/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Генеральному 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3" w:name="_Ref12537018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Техническое предложение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), содержащие План распределения объемов поставки продукции;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4" w:name="_Ref125370193"/>
            <w:r/>
            <w:bookmarkEnd w:id="31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каждого субподрядчика установленным требованиям (с учетом пункта </w:t>
            </w:r>
            <w:r>
              <w:fldChar w:fldCharType="begin"/>
            </w:r>
            <w:r>
              <w:instrText xml:space="preserve"> REF _Ref125368863 \w \h  \* MERGEFORMAT </w:instrText>
            </w:r>
            <w:r>
              <w:fldChar w:fldCharType="separate"/>
            </w:r>
            <w:r>
              <w:t xml:space="preserve">3.3.23.2.4</w:t>
            </w:r>
            <w:r>
              <w:fldChar w:fldCharType="end"/>
            </w:r>
            <w:r>
              <w:t xml:space="preserve">) в том числе с учетом объема поставки продукции, который ему предполагается поручить в соответствии с Планом распределения объемов поставки продукции, представленным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Сведения и документы, аналогичные установленным в подразделах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 отношении каждого субподрядчика, подтверждающие его соответствие данным требованиям;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5" w:name="_Ref125553847"/>
            <w:r/>
            <w:bookmarkEnd w:id="31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</w:tr>
    </w:tbl>
    <w:p>
      <w:pPr>
        <w:pStyle w:val="1128"/>
      </w:pPr>
      <w:r/>
      <w:r/>
    </w:p>
    <w:p>
      <w:pPr>
        <w:pStyle w:val="112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423" w:name="_Toc51"/>
      <w:r/>
      <w:bookmarkStart w:id="316" w:name="Прил04_ФормыЗаявки"/>
      <w:r/>
      <w:bookmarkEnd w:id="316"/>
      <w:r/>
      <w:bookmarkStart w:id="318" w:name="_Ref125362865"/>
      <w:r/>
      <w:bookmarkStart w:id="319" w:name="_Ref125362900"/>
      <w:r>
        <w:t xml:space="preserve">Приложение № 4 – Образцы форм документов, включаемых в состав заявки</w:t>
      </w:r>
      <w:bookmarkEnd w:id="423"/>
      <w:r/>
      <w:r/>
    </w:p>
    <w:p>
      <w:pPr>
        <w:pStyle w:val="1123"/>
      </w:pPr>
      <w:r/>
      <w:bookmarkStart w:id="424" w:name="_Toc52"/>
      <w:r>
        <w:t xml:space="preserve">Пояснения к Образцам форм документов, включаемых в состав заявки</w:t>
      </w:r>
      <w:bookmarkEnd w:id="424"/>
      <w:r/>
      <w:r/>
    </w:p>
    <w:p>
      <w:pPr>
        <w:pStyle w:val="1124"/>
      </w:pPr>
      <w:r>
        <w:t xml:space="preserve">Образцы форм документов, включаемых в состав заявки (с инструкциями по их оформлению), приведены в отдельном файле (предоставляются отдельным документом в составе Документации о закупке), являющимся Приложением № 4 к Документации о закупке.</w:t>
      </w:r>
      <w:r/>
    </w:p>
    <w:p>
      <w:pPr>
        <w:pStyle w:val="1122"/>
      </w:pPr>
      <w:r/>
      <w:bookmarkStart w:id="425" w:name="_Toc53"/>
      <w:r/>
      <w:bookmarkStart w:id="321" w:name="Прил05_ФормыПобедителя"/>
      <w:r/>
      <w:bookmarkEnd w:id="321"/>
      <w:r>
        <w:t xml:space="preserve">Приложение № 5 – Образцы форм документов, предоставляемых Победителем</w:t>
      </w:r>
      <w:bookmarkEnd w:id="425"/>
      <w:r/>
      <w:r/>
    </w:p>
    <w:p>
      <w:pPr>
        <w:pStyle w:val="1123"/>
      </w:pPr>
      <w:r/>
      <w:bookmarkStart w:id="426" w:name="_Toc54"/>
      <w:r>
        <w:t xml:space="preserve">Пояснения к Образцам форм документов, предоставляемых Победителем</w:t>
      </w:r>
      <w:bookmarkEnd w:id="426"/>
      <w:r/>
      <w:r/>
    </w:p>
    <w:p>
      <w:pPr>
        <w:pStyle w:val="1124"/>
      </w:pPr>
      <w:r>
        <w:t xml:space="preserve">Образцы форм документов, предоставляемых Победител</w:t>
      </w:r>
      <w:r>
        <w:t xml:space="preserve">ем (или Единственным участником, в случае признания закупки несостоявшейся и принятия решения о заключении договора с ее Единственным участником), а также дополнительные пояснения по их предоставлению и инструкции по их оформлению, приведены в 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23"/>
      </w:pPr>
      <w:r/>
      <w:bookmarkStart w:id="427" w:name="_Toc55"/>
      <w:r/>
      <w:bookmarkStart w:id="324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4"/>
      <w:r/>
      <w:bookmarkEnd w:id="427"/>
      <w:r/>
      <w:r/>
    </w:p>
    <w:p>
      <w:pPr>
        <w:pStyle w:val="1124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24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приложением 1 «Перечень подтверждающих документов»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28"/>
        <w:jc w:val="center"/>
      </w:pPr>
      <w:r/>
      <w:bookmarkStart w:id="326" w:name="_MON_1741074142"/>
      <w:r/>
      <w:bookmarkEnd w:id="32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_x0000_i1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23"/>
      </w:pPr>
      <w:r/>
      <w:bookmarkStart w:id="428" w:name="_Toc56"/>
      <w:r/>
      <w:bookmarkStart w:id="327" w:name="_Ref130395475"/>
      <w:r>
        <w:t xml:space="preserve">Форма «Заверение об обстоятельствах»</w:t>
      </w:r>
      <w:bookmarkEnd w:id="327"/>
      <w:r/>
      <w:bookmarkEnd w:id="428"/>
      <w:r/>
      <w:r/>
    </w:p>
    <w:p>
      <w:pPr>
        <w:pStyle w:val="1124"/>
      </w:pPr>
      <w:r>
        <w:t xml:space="preserve">Форма Заверения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24"/>
      </w:pPr>
      <w:r>
        <w:t xml:space="preserve">Победитель закупки (поставщик) должен выбрать соответствующий ему вариант Заверения об обстоятельствах, исходя из необходимости получения согласий орг</w:t>
      </w:r>
      <w:r>
        <w:t xml:space="preserve">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 последующего заключения Договора по предмету настоящей закупки.</w:t>
      </w:r>
      <w:r/>
    </w:p>
    <w:p>
      <w:pPr>
        <w:pStyle w:val="1124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24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28"/>
        <w:jc w:val="center"/>
        <w:spacing w:after="120"/>
      </w:pPr>
      <w:r/>
      <w:bookmarkStart w:id="329" w:name="_MON_1741074184"/>
      <w:r/>
      <w:bookmarkEnd w:id="329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_x0000_i2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4" o:title=""/>
              </v:shape>
            </w:pict>
          </mc:Fallback>
        </mc:AlternateContent>
      </w:r>
      <w:r/>
    </w:p>
    <w:p>
      <w:pPr>
        <w:pStyle w:val="1122"/>
      </w:pPr>
      <w:r/>
      <w:bookmarkStart w:id="429" w:name="_Toc57"/>
      <w:r/>
      <w:bookmarkStart w:id="330" w:name="Прил06_СоставЗаявки"/>
      <w:r/>
      <w:bookmarkEnd w:id="330"/>
      <w:r>
        <w:t xml:space="preserve">Приложение № 6 – Состав заявки</w:t>
      </w:r>
      <w:bookmarkEnd w:id="318"/>
      <w:r/>
      <w:bookmarkEnd w:id="319"/>
      <w:r/>
      <w:bookmarkEnd w:id="429"/>
      <w:r/>
      <w:r/>
    </w:p>
    <w:p>
      <w:pPr>
        <w:pStyle w:val="1123"/>
      </w:pPr>
      <w:r/>
      <w:bookmarkStart w:id="430" w:name="_Toc58"/>
      <w:r>
        <w:t xml:space="preserve">Состав заявки</w:t>
      </w:r>
      <w:bookmarkEnd w:id="430"/>
      <w:r/>
      <w:r/>
    </w:p>
    <w:p>
      <w:pPr>
        <w:pStyle w:val="1124"/>
        <w:spacing w:after="120"/>
      </w:pPr>
      <w:r>
        <w:t xml:space="preserve">Заявка на участие в закупке должна состоять из первой части, второй части и ценового предложения, которые должны содержать следующий комплект документов (образцы форм документов, включаемых в состав заявки (с инструкциями по их оформлению),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Приложении № 4</w:t>
      </w:r>
      <w:r>
        <w:rPr>
          <w:rStyle w:val="1137"/>
        </w:rPr>
        <w:fldChar w:fldCharType="end"/>
      </w:r>
      <w:r>
        <w:t xml:space="preserve">):</w:t>
      </w:r>
      <w:r/>
    </w:p>
    <w:tbl>
      <w:tblPr>
        <w:tblStyle w:val="1135"/>
        <w:tblW w:w="0" w:type="auto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8074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 документа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</w:t>
            </w:r>
            <w:r>
              <w:rPr>
                <w:i/>
                <w:iCs/>
              </w:rPr>
              <w:t xml:space="preserve"> генеральн</w:t>
            </w:r>
            <w:r>
              <w:rPr>
                <w:i/>
                <w:iCs/>
                <w:color w:val="000000" w:themeColor="text1"/>
              </w:rPr>
              <w:t xml:space="preserve">ого</w:t>
            </w:r>
            <w:r>
              <w:rPr>
                <w:i/>
                <w:iCs/>
                <w:color w:val="000000" w:themeColor="text1"/>
              </w:rPr>
              <w:t xml:space="preserve"> подрядчик</w:t>
            </w:r>
            <w:r>
              <w:rPr>
                <w:i/>
                <w:iCs/>
                <w:color w:val="000000" w:themeColor="text1"/>
                <w:highlight w:val="none"/>
                <w:shd w:val="clear" w:color="ffffff" w:themeColor="background1" w:fill="ffffff" w:themeFill="background1"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Календарный график (форма 5);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Письмо о подаче оферты (форма 2);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Анкета Участника (форма 6);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Документы, подтверждающие соответствие Участника обязательным требованиям Документации о закупке (подраздел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3</w:t>
            </w:r>
            <w:r>
              <w:rPr>
                <w:rStyle w:val="1137"/>
              </w:rPr>
              <w:fldChar w:fldCharType="end"/>
            </w:r>
            <w:r>
              <w:t xml:space="preserve">), а также необходимые документы для прохождения (при необходимости) процедуры аккредитации – требования к подтверждающим документам приведены в указанном подразделе;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Документы, подтверждающие соответствие Участника специальным требованиям – предоставляются, если соответствующие требования установлены в 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3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3</w:t>
            </w:r>
            <w:r>
              <w:rPr>
                <w:rStyle w:val="1137"/>
              </w:rPr>
              <w:fldChar w:fldCharType="end"/>
            </w:r>
            <w:r>
              <w:t xml:space="preserve">) – предоставляются, если Участник подает заявку 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28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План распределения объемов поставки продукции, представленный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8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прочие документы, определенные в подразделе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3</w:t>
            </w:r>
            <w:r>
              <w:rPr>
                <w:rStyle w:val="1137"/>
              </w:rPr>
              <w:fldChar w:fldCharType="end"/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33" w:name="_Ref132888537"/>
            <w:r/>
            <w:bookmarkEnd w:id="33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Копия независимой гарантии – предоставляется при необходимости и в случае отсутствия внесенных Участником денежных средств на специальный банковский счет;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Документы (или их копии), подтверждающие соответствие предлагаемой к поставке продукции требованиям, установленным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– предоставляются, если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было установлено соответствующее требование;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 (предоставляется в течение 1 (одного) рабочего дня после завершения процедуры аукциона):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Коммерческое предложение (включая Структуру НМЦ) (форма 3); также дополнительно предоставляется подтверждающая документация, составленная в соответствии с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Техническими требованиями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– только если в Технических требованиях установлены требования к документации по ценообразованию (подраздел «Требования к документации по ценообразованию на этапе закупки») либо аналогичные по смыслу.</w:t>
            </w:r>
            <w:r/>
          </w:p>
        </w:tc>
      </w:tr>
    </w:tbl>
    <w:p>
      <w:pPr>
        <w:pStyle w:val="1124"/>
        <w:rPr>
          <w:rStyle w:val="1131"/>
          <w:i w:val="0"/>
          <w:iCs w:val="0"/>
          <w:shd w:val="clear" w:color="auto" w:fill="auto"/>
        </w:rPr>
      </w:pPr>
      <w:r>
        <w:rPr>
          <w:rStyle w:val="1131"/>
          <w:i w:val="0"/>
          <w:iCs w:val="0"/>
          <w:shd w:val="clear" w:color="auto" w:fill="auto"/>
        </w:rPr>
        <w:t xml:space="preserve">Если по каким-либо причинам Участник не может предоставить какой-либо из требуемых документов, он может в составе заявки приложить составленную в произвольной</w:t>
      </w:r>
      <w:r>
        <w:rPr>
          <w:rStyle w:val="1131"/>
          <w:i w:val="0"/>
          <w:iCs w:val="0"/>
          <w:shd w:val="clear" w:color="auto" w:fill="auto"/>
        </w:rPr>
        <w:t xml:space="preserve">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 Участника обязанности по предоставлению требуемого документа).</w:t>
      </w:r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1128"/>
        <w:rPr>
          <w:rStyle w:val="1131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1122"/>
      </w:pPr>
      <w:r/>
      <w:bookmarkStart w:id="431" w:name="_Toc59"/>
      <w:r/>
      <w:bookmarkStart w:id="334" w:name="Прил07_ОтборочныеКритерии"/>
      <w:r/>
      <w:bookmarkEnd w:id="334"/>
      <w:r/>
      <w:bookmarkStart w:id="336" w:name="_Ref125365264"/>
      <w:r>
        <w:t xml:space="preserve">Приложение № 7 – Отборочные критерии рассмотрения заявок</w:t>
      </w:r>
      <w:bookmarkEnd w:id="336"/>
      <w:r/>
      <w:bookmarkEnd w:id="431"/>
      <w:r/>
      <w:r/>
    </w:p>
    <w:p>
      <w:pPr>
        <w:pStyle w:val="1123"/>
        <w:spacing w:after="120"/>
        <w:rPr>
          <w:rStyle w:val="1131"/>
          <w:i w:val="0"/>
          <w:iCs w:val="0"/>
          <w:shd w:val="clear" w:color="auto" w:fill="auto"/>
        </w:rPr>
      </w:pPr>
      <w:r/>
      <w:bookmarkStart w:id="432" w:name="_Toc60"/>
      <w:r>
        <w:rPr>
          <w:rStyle w:val="1131"/>
          <w:i w:val="0"/>
          <w:iCs w:val="0"/>
          <w:shd w:val="clear" w:color="auto" w:fill="auto"/>
        </w:rPr>
        <w:t xml:space="preserve">Отборочные критерии рассмотрения первых частей заявок</w:t>
      </w:r>
      <w:r>
        <w:rPr>
          <w:rStyle w:val="1131"/>
          <w:i w:val="0"/>
          <w:iCs w:val="0"/>
          <w:shd w:val="clear" w:color="auto" w:fill="auto"/>
        </w:rPr>
      </w:r>
      <w:bookmarkEnd w:id="432"/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первой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Наличие в составе первой части заявки обязательных к предоставлению (для целей рассмотрения первых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6 «Состав заявки»</w:t>
            </w:r>
            <w:r>
              <w:rPr>
                <w:rStyle w:val="1137"/>
              </w:rPr>
              <w:fldChar w:fldCharType="end"/>
            </w:r>
            <w:r>
              <w:t xml:space="preserve">, а также правильность их оформления (в т.ч. в части языка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rStyle w:val="1137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6</w:t>
            </w:r>
            <w:r>
              <w:rPr>
                <w:rStyle w:val="1137"/>
              </w:rPr>
              <w:fldChar w:fldCharType="end"/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Отсутствие в материалах (документах) первой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Отсутствие в материалах первой части заявки сведений об Участнике и (или)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37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объемов и состава работ / услуг, технологии производства работ,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Календарного графика требованиям к срокам и этапам реализации Договора,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Проекте договора (Приложение № 2)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2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Проекте договора (Приложение № 2)</w:t>
            </w:r>
            <w:r>
              <w:rPr>
                <w:rStyle w:val="1137"/>
              </w:rPr>
              <w:fldChar w:fldCharType="end"/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2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предлагаемой к поставке продукции дополнительным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, с предоставлением требуемых подтверждающих документов</w:t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23"/>
        <w:spacing w:after="120"/>
        <w:rPr>
          <w:rStyle w:val="1131"/>
          <w:i w:val="0"/>
          <w:iCs w:val="0"/>
          <w:shd w:val="clear" w:color="auto" w:fill="auto"/>
        </w:rPr>
      </w:pPr>
      <w:r/>
      <w:bookmarkStart w:id="433" w:name="_Toc61"/>
      <w:r/>
      <w:bookmarkStart w:id="339" w:name="_Hlk132891087"/>
      <w:r>
        <w:rPr>
          <w:rStyle w:val="1131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9"/>
      <w:r>
        <w:rPr>
          <w:rStyle w:val="1131"/>
          <w:i w:val="0"/>
          <w:iCs w:val="0"/>
          <w:shd w:val="clear" w:color="auto" w:fill="auto"/>
        </w:rPr>
      </w:r>
      <w:bookmarkEnd w:id="433"/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 </w:t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второй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Наличие в составе второй части заявки всех обязательных к предоставлению (для целей рассмотрения вторых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6 «Состав заявки»</w:t>
            </w:r>
            <w:r>
              <w:rPr>
                <w:rStyle w:val="1137"/>
              </w:rPr>
              <w:fldChar w:fldCharType="end"/>
            </w:r>
            <w:r>
              <w:t xml:space="preserve">, а также правильность их оформления (в т.ч. в части наличия должных печатей, подписей, формы заверения,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rStyle w:val="1137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6</w:t>
            </w:r>
            <w:r>
              <w:rPr>
                <w:rStyle w:val="1137"/>
              </w:rPr>
              <w:fldChar w:fldCharType="end"/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bookmarkStart w:id="341" w:name="_Ref132890414"/>
            <w:r/>
            <w:bookmarkEnd w:id="34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 – если подразделом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</w:t>
            </w:r>
            <w:r>
              <w:t xml:space="preserve">вить обеспечение заявки на участие в закупке и в случае отсутствия внесение денежных средств на 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 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 – в части наличия сведений в реестре,</w:t>
            </w:r>
            <w:r/>
          </w:p>
          <w:p>
            <w:pPr>
              <w:pStyle w:val="1128"/>
              <w:jc w:val="center"/>
              <w:spacing w:before="60" w:after="60"/>
            </w:pPr>
            <w:r>
              <w:t xml:space="preserve">Фин – в части соответствия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Отсутствие в материалах (документах) второй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(в том числе содержание) 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 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_Ref125552433 \w \h 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осуществления экспертизы заявки Участника в том числе проверяется наличие у него статус</w:t>
            </w:r>
            <w:r>
              <w:rPr>
                <w:i/>
                <w:iCs/>
              </w:rPr>
              <w:t xml:space="preserve">а «аккредитован» / «аккредитация не требуется», или проводится процедура его аккредитации (при необходимости). В рамках заключения Договора Победитель в целях подтверждения своего соответствия предоставляет документы в порядке, предусмотренном подразделом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3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специальным требованиям к Участникам</w:t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Генерального подрядчика установленным в отношении его требованиям: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проведения закупки, принять участие в которой можно от лица Генерального подрядчика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пункта </w:t>
            </w:r>
            <w:r>
              <w:fldChar w:fldCharType="begin"/>
            </w:r>
            <w:r>
              <w:instrText xml:space="preserve"> REF _Ref125370193 \w \h 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Орг, 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37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предлагаемой к поставке продукции иным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, с предоставлением требуемых подтверждающих документов</w:t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23"/>
        <w:spacing w:after="120"/>
        <w:rPr>
          <w:rStyle w:val="1131"/>
          <w:i w:val="0"/>
          <w:iCs w:val="0"/>
          <w:shd w:val="clear" w:color="auto" w:fill="auto"/>
        </w:rPr>
      </w:pPr>
      <w:r/>
      <w:bookmarkStart w:id="434" w:name="_Toc62"/>
      <w:r>
        <w:rPr>
          <w:rStyle w:val="1131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31"/>
          <w:i w:val="0"/>
          <w:iCs w:val="0"/>
          <w:shd w:val="clear" w:color="auto" w:fill="auto"/>
        </w:rPr>
      </w:r>
      <w:bookmarkEnd w:id="434"/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ценового предложения,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ценового предложения по составу требованиям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6 «Состав заявки»</w:t>
            </w:r>
            <w:r>
              <w:rPr>
                <w:rStyle w:val="1137"/>
              </w:rPr>
              <w:fldChar w:fldCharType="end"/>
            </w:r>
            <w:r>
              <w:t xml:space="preserve">, а также правильности оформления документов, входящих в его состав, в том числе установленной форме и иным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28"/>
              <w:jc w:val="center"/>
              <w:spacing w:before="60" w:after="60"/>
              <w:rPr>
                <w:rStyle w:val="1137"/>
              </w:rPr>
            </w:pP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6</w:t>
            </w:r>
            <w:r>
              <w:rPr>
                <w:rStyle w:val="1137"/>
              </w:rPr>
              <w:fldChar w:fldCharType="end"/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Отсутствие в материалах (документов) ценового предложения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  <w:i/>
                <w:iCs/>
              </w:rPr>
              <w:t xml:space="preserve">Технических требованиях (Приложение № 1)</w:t>
            </w:r>
            <w:r>
              <w:rPr>
                <w:rStyle w:val="1137"/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28"/>
              <w:spacing w:before="60" w:after="60"/>
              <w:rPr>
                <w:b w:val="0"/>
                <w:bCs w:val="0"/>
                <w:strike/>
                <w:color w:val="000000" w:themeColor="text1"/>
              </w:rPr>
            </w:pPr>
            <w:r>
              <w:rPr>
                <w:b w:val="0"/>
                <w:bCs w:val="0"/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b w:val="0"/>
                <w:bCs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b w:val="0"/>
                <w:bCs w:val="0"/>
                <w:color w:val="000000" w:themeColor="text1"/>
              </w:rPr>
              <w:fldChar w:fldCharType="separate"/>
            </w:r>
            <w:r>
              <w:rPr>
                <w:rStyle w:val="1137"/>
                <w:b w:val="0"/>
                <w:bCs w:val="0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37"/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/>
                <w:color w:val="000000" w:themeColor="text1"/>
              </w:rPr>
            </w:r>
            <w:r>
              <w:rPr>
                <w:b w:val="0"/>
                <w:bCs w:val="0"/>
                <w:strike/>
                <w:color w:val="000000" w:themeColor="text1"/>
              </w:rPr>
            </w:r>
          </w:p>
          <w:p>
            <w:pPr>
              <w:pStyle w:val="1128"/>
              <w:spacing w:before="60" w:after="60"/>
              <w:rPr>
                <w:b w:val="0"/>
                <w:bCs w:val="0"/>
                <w:i/>
                <w:iCs/>
                <w:strike/>
                <w:color w:val="000000" w:themeColor="text1"/>
              </w:rPr>
            </w:pP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b w:val="0"/>
                <w:bCs w:val="0"/>
                <w:i/>
                <w:iCs/>
                <w:strike/>
                <w:color w:val="000000" w:themeColor="text1"/>
              </w:rPr>
            </w:r>
            <w:r>
              <w:rPr>
                <w:b w:val="0"/>
                <w:bCs w:val="0"/>
                <w:i/>
                <w:iCs/>
                <w:strike/>
                <w:color w:val="000000" w:themeColor="text1"/>
              </w:rPr>
            </w:r>
          </w:p>
          <w:p>
            <w:pPr>
              <w:pStyle w:val="1128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 w:val="0"/>
                <w:bCs w:val="0"/>
                <w:strike/>
                <w:color w:val="000000" w:themeColor="text1"/>
              </w:rPr>
            </w:pPr>
            <w:r>
              <w:rPr>
                <w:b w:val="0"/>
                <w:bCs w:val="0"/>
                <w:strike w:val="0"/>
                <w:color w:val="000000" w:themeColor="text1"/>
              </w:rPr>
              <w:t xml:space="preserve">подразделы 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 w:val="0"/>
                <w:color w:val="000000" w:themeColor="text1"/>
              </w:rPr>
              <w:t xml:space="preserve">, 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 w:val="0"/>
                <w:color w:val="000000" w:themeColor="text1"/>
              </w:rPr>
              <w:br/>
            </w:r>
            <w:r>
              <w:rPr>
                <w:b w:val="0"/>
                <w:bCs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b w:val="0"/>
                <w:bCs w:val="0"/>
                <w:color w:val="000000" w:themeColor="text1"/>
              </w:rPr>
              <w:fldChar w:fldCharType="separate"/>
            </w:r>
            <w:r>
              <w:rPr>
                <w:rStyle w:val="1137"/>
                <w:b w:val="0"/>
                <w:bCs w:val="0"/>
                <w:strike w:val="0"/>
                <w:color w:val="000000" w:themeColor="text1"/>
              </w:rPr>
              <w:t xml:space="preserve">Приложение № 1</w:t>
            </w:r>
            <w:r>
              <w:rPr>
                <w:rStyle w:val="1137"/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/>
                <w:color w:val="000000" w:themeColor="text1"/>
              </w:rPr>
            </w:r>
            <w:r>
              <w:rPr>
                <w:b w:val="0"/>
                <w:bCs w:val="0"/>
                <w:strike/>
                <w:color w:val="000000" w:themeColor="text1"/>
              </w:rPr>
            </w:r>
          </w:p>
          <w:p>
            <w:pPr>
              <w:pStyle w:val="1128"/>
              <w:jc w:val="center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Цена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37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37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28"/>
              <w:spacing w:before="60" w:after="60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37"/>
                <w:color w:val="000000" w:themeColor="text1"/>
              </w:rPr>
              <w:t xml:space="preserve">Приложение № 1</w:t>
            </w:r>
            <w:r>
              <w:rPr>
                <w:rStyle w:val="1137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28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123"/>
        <w:rPr>
          <w:rStyle w:val="1131"/>
          <w:i w:val="0"/>
          <w:iCs w:val="0"/>
          <w:shd w:val="clear" w:color="auto" w:fill="auto"/>
        </w:rPr>
      </w:pPr>
      <w:r/>
      <w:bookmarkStart w:id="435" w:name="_Toc63"/>
      <w:r>
        <w:rPr>
          <w:rStyle w:val="1131"/>
          <w:i w:val="0"/>
          <w:iCs w:val="0"/>
          <w:shd w:val="clear" w:color="auto" w:fill="auto"/>
        </w:rPr>
        <w:t xml:space="preserve">Дополнительные критерии проверки заявок на соответствие условиям Документации о закупке</w:t>
      </w:r>
      <w:r>
        <w:rPr>
          <w:rStyle w:val="1131"/>
          <w:i w:val="0"/>
          <w:iCs w:val="0"/>
          <w:shd w:val="clear" w:color="auto" w:fill="auto"/>
        </w:rPr>
      </w:r>
      <w:bookmarkEnd w:id="435"/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1128"/>
        <w:keepNext/>
        <w:spacing w:after="120"/>
      </w:pPr>
      <w:r>
        <w:t xml:space="preserve">Несоответствие одному или всем дополнительным критериям не является основанием для отклонения заявки.</w:t>
      </w:r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9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  <w:rPr>
                <w:i/>
                <w:iCs/>
                <w:strike w:val="0"/>
                <w:color w:val="ff0000"/>
              </w:rPr>
            </w:pPr>
            <w:r>
              <w:t xml:space="preserve">Наличие в заявке в форме Коммерческого предложения информации о стране происхождения товара </w:t>
            </w:r>
            <w:bookmarkStart w:id="372" w:name="_GoBack"/>
            <w:r/>
            <w:bookmarkEnd w:id="372"/>
            <w:r>
              <w:rPr>
                <w:i/>
                <w:iCs/>
                <w:strike w:val="0"/>
                <w:color w:val="ff0000"/>
              </w:rPr>
            </w:r>
            <w:r>
              <w:rPr>
                <w:i/>
                <w:iCs/>
                <w:strike w:val="0"/>
                <w:color w:val="ff0000"/>
              </w:rPr>
            </w:r>
          </w:p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rStyle w:val="1137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</w:tbl>
    <w:p>
      <w:pPr>
        <w:pStyle w:val="1128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28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оферты; налич</w:t>
      </w:r>
      <w:r>
        <w:t xml:space="preserve">ия обеспечения обязательств Участника, связанного с подачей заявки, в виде независимой гарантии (в том числе наличие сведений о ней в соответствующем реестре в ЕИС) – в случае отсутствия внесенных Участником денежных средств на специальный банковский счет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наличие у Участника статуса «аккредитован», либо статуса «аккредитация не требуется» (или наличие заявки на аккредитацию (при необходимости)), у</w:t>
      </w:r>
      <w:r>
        <w:t xml:space="preserve">частвует в процедуре актуализации статуса аккредитации (при необходимости); 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</w:t>
      </w:r>
      <w:r>
        <w:t xml:space="preserve">йской Федерации от 11.05.2022 № 851; проверка наличия информации об Участнике в Реестре МСП (https://rmsp.nalog.ru/index.html), а в отношении физических лиц, не являющихся индивидуальными предпринимателями и применяющих специальный налоговый режим «Налог н</w:t>
      </w:r>
      <w:r>
        <w:t xml:space="preserve">а профессиональный доход» –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(https://npd.nalog.ru/check-status/);</w:t>
      </w:r>
      <w:r/>
    </w:p>
    <w:p>
      <w:pPr>
        <w:pStyle w:val="112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Технических предложений и сведений, подтвержд</w:t>
      </w:r>
      <w:r>
        <w:t xml:space="preserve">ающих соответствия Участника специальным требованиям Документации о закупке; 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Договора;</w:t>
      </w:r>
      <w:r/>
    </w:p>
    <w:p>
      <w:pPr>
        <w:pStyle w:val="112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</w:t>
      </w:r>
      <w:r>
        <w:t xml:space="preserve">, языка заявки); оценка юридических аспектов заявки, в том числе оценка правомочности подписанта доверенности (при необходимости) на основании выписки из ЕГРЮЛ (выписка из ЕГРЮЛ доступна на официальном сервисе ФНС России https://egrul.nalog.ru/index.html);</w:t>
      </w:r>
      <w:r/>
    </w:p>
    <w:p>
      <w:pPr>
        <w:pStyle w:val="1128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</w:t>
      </w:r>
      <w:r>
        <w:t xml:space="preserve">правильности их оформления (в т.ч. в части наличия должных печатей, подписей формы заверения, языка и валюты заявки); проверка отсутствия противоречий (в части стоимости заявки (цены Договора)) между Письмом о подаче оферты и сведениями, указанными Участни</w:t>
      </w:r>
      <w:r>
        <w:t xml:space="preserve">ком в структурированных формах на ЭП; оценка Коммерческого предложения Участника, а также (при наличии) прилагаемой к нему подтверждающей документации (включая спецификацию) на предмет непревышения ценового предложения участника установленного размера НМЦ.</w:t>
      </w:r>
      <w:r/>
    </w:p>
    <w:p>
      <w:pPr>
        <w:pStyle w:val="112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</w:r>
      <w:r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(в т.ч. в части наличия должных печатей, подписей формы заверения, языка и валюты заявки) </w:t>
      </w:r>
      <w:r>
        <w:rPr>
          <w:i/>
          <w:iCs/>
        </w:rPr>
        <w:t xml:space="preserve">(финансовая экспертиза проводится по 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28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материалов (документов), являющихся предметом его экспертизы).</w:t>
      </w:r>
      <w:r/>
    </w:p>
    <w:p>
      <w:pPr>
        <w:pStyle w:val="1128"/>
      </w:pPr>
      <w:r/>
      <w:r/>
    </w:p>
    <w:p>
      <w:pPr>
        <w:pStyle w:val="112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436" w:name="_Toc64"/>
      <w:r/>
      <w:bookmarkStart w:id="344" w:name="Прил08_ПорядокОценки"/>
      <w:r/>
      <w:bookmarkEnd w:id="344"/>
      <w:r/>
      <w:bookmarkStart w:id="345" w:name="_Ref125368165"/>
      <w:r/>
      <w:bookmarkStart w:id="346" w:name="_Ref125368184"/>
      <w:r/>
      <w:bookmarkStart w:id="347" w:name="_Ref125368283"/>
      <w:r/>
      <w:bookmarkStart w:id="348" w:name="_Ref125368291"/>
      <w:r/>
      <w:bookmarkStart w:id="349" w:name="_Ref125368302"/>
      <w:r/>
      <w:bookmarkStart w:id="350" w:name="_Ref125368313"/>
      <w:r/>
      <w:bookmarkStart w:id="351" w:name="_Ref125368331"/>
      <w:r/>
      <w:bookmarkStart w:id="352" w:name="_Ref125366280"/>
      <w:r/>
      <w:bookmarkStart w:id="353" w:name="_Ref125361951"/>
      <w:r/>
      <w:bookmarkStart w:id="354" w:name="_Ref125369438"/>
      <w:r/>
      <w:bookmarkStart w:id="355" w:name="_Ref125369021"/>
      <w:r/>
      <w:bookmarkStart w:id="356" w:name="_Ref125368140"/>
      <w:r/>
      <w:bookmarkStart w:id="357" w:name="_Ref125361648"/>
      <w:r/>
      <w:bookmarkStart w:id="359" w:name="_Ref125368172"/>
      <w:r/>
      <w:bookmarkStart w:id="360" w:name="_Ref125366013"/>
      <w:r/>
      <w:bookmarkStart w:id="361" w:name="_Ref125366285"/>
      <w:r/>
      <w:bookmarkStart w:id="362" w:name="_Ref125368150"/>
      <w:r>
        <w:t xml:space="preserve">Приложение № 8 – Порядок и критерии оценки и сопоставления заявок</w:t>
      </w:r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9"/>
      <w:r/>
      <w:bookmarkEnd w:id="360"/>
      <w:r/>
      <w:bookmarkEnd w:id="361"/>
      <w:r/>
      <w:bookmarkEnd w:id="362"/>
      <w:r/>
      <w:bookmarkEnd w:id="436"/>
      <w:r/>
      <w:r/>
    </w:p>
    <w:p>
      <w:pPr>
        <w:pStyle w:val="1123"/>
      </w:pPr>
      <w:r/>
      <w:bookmarkStart w:id="437" w:name="_Toc65"/>
      <w:r>
        <w:t xml:space="preserve">Порядок и критерии оценки и сопоставления заявок</w:t>
      </w:r>
      <w:bookmarkEnd w:id="437"/>
      <w:r/>
      <w:r/>
    </w:p>
    <w:p>
      <w:pPr>
        <w:pStyle w:val="1124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951"/>
        </w:rPr>
        <w:footnoteReference w:id="15"/>
      </w:r>
      <w:r>
        <w:t xml:space="preserve">.</w:t>
      </w:r>
      <w:r/>
    </w:p>
    <w:p>
      <w:pPr>
        <w:pStyle w:val="1124"/>
      </w:pPr>
      <w:r>
        <w:t xml:space="preserve">В установленных случаях оценка и сопоставление заявок производится с учетом предоставления национального режима в соответствии с порядком, предусмотренном подразделом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28"/>
      </w:pPr>
      <w:r/>
      <w:r/>
    </w:p>
    <w:p>
      <w:pPr>
        <w:pStyle w:val="112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438" w:name="_Toc66"/>
      <w:r/>
      <w:bookmarkStart w:id="364" w:name="Прил09_ОбоснованиеНМЦ"/>
      <w:r/>
      <w:bookmarkEnd w:id="364"/>
      <w:r/>
      <w:bookmarkStart w:id="365" w:name="_Ref125360420"/>
      <w:r>
        <w:t xml:space="preserve">Приложение № 9 – Обоснование НМЦ</w:t>
      </w:r>
      <w:bookmarkEnd w:id="365"/>
      <w:r/>
      <w:bookmarkEnd w:id="438"/>
      <w:r/>
      <w:r/>
    </w:p>
    <w:p>
      <w:pPr>
        <w:pStyle w:val="1123"/>
      </w:pPr>
      <w:r/>
      <w:bookmarkStart w:id="439" w:name="_Toc67"/>
      <w:r>
        <w:t xml:space="preserve">Пояснения к Обоснованию НМЦ</w:t>
      </w:r>
      <w:bookmarkEnd w:id="439"/>
      <w:r/>
      <w:r/>
    </w:p>
    <w:p>
      <w:pPr>
        <w:pStyle w:val="1124"/>
      </w:pPr>
      <w:r>
        <w:t xml:space="preserve">Обоснование НМЦ приведено в отдельном файле (предоставляется отдельным документом в составе Документации о закупке), являющимся Приложением № 9 к Документации о закупке.</w:t>
      </w:r>
      <w:r/>
    </w:p>
    <w:p>
      <w:pPr>
        <w:pStyle w:val="1122"/>
      </w:pPr>
      <w:r/>
      <w:bookmarkStart w:id="440" w:name="_Toc68"/>
      <w:r/>
      <w:bookmarkStart w:id="368" w:name="Прил10_ФормаЗаявкиНаАккредитацию"/>
      <w:r/>
      <w:bookmarkEnd w:id="368"/>
      <w:r>
        <w:t xml:space="preserve">Приложение № 10 – Форма Заявки на аккредитацию</w:t>
      </w:r>
      <w:bookmarkEnd w:id="440"/>
      <w:r/>
      <w:r/>
    </w:p>
    <w:p>
      <w:pPr>
        <w:pStyle w:val="1123"/>
      </w:pPr>
      <w:r/>
      <w:bookmarkStart w:id="441" w:name="_Toc69"/>
      <w:r>
        <w:t xml:space="preserve">Пояснения к форме Заявки на аккредитацию</w:t>
      </w:r>
      <w:bookmarkEnd w:id="441"/>
      <w:r/>
      <w:r/>
    </w:p>
    <w:p>
      <w:pPr>
        <w:pStyle w:val="1124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 10 к Документации о закупке.</w:t>
      </w:r>
      <w:r/>
    </w:p>
    <w:p>
      <w:pPr>
        <w:pStyle w:val="1128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71550" cy="638175"/>
                <wp:effectExtent l="0" t="0" r="0" b="0"/>
                <wp:docPr id="5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_x0000_i3"/>
                        <pic:cNvPicPr/>
                        <pic:nvPr/>
                      </pic:nvPicPr>
                      <pic:blipFill>
                        <a:blip r:embed="rId26">
                          <a:extLst>
                            <a:ext uri="{96DAC541-7B7A-43D3-8B79-37D633B846F1}">
                              <asvg:svgBlip xmlns:asvg="http://schemas.microsoft.com/office/drawing/2016/SVG/main" r:embed="rId2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15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6.50pt;height:50.25pt;mso-wrap-distance-left:0.00pt;mso-wrap-distance-top:0.00pt;mso-wrap-distance-right:0.00pt;mso-wrap-distance-bottom:0.00pt;" stroked="false">
                <v:path textboxrect="0,0,0,0"/>
                <v:imagedata r:id="rId26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AutoText"/>
      </w:docPartObj>
      <w:rPr/>
    </w:sdtPr>
    <w:sdtContent>
      <w:p>
        <w:pPr>
          <w:pStyle w:val="97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40" w:lineRule="auto"/>
      </w:pPr>
      <w:r>
        <w:separator/>
      </w:r>
      <w:r/>
    </w:p>
  </w:footnote>
  <w:footnote w:type="continuationSeparator" w:id="0">
    <w:p>
      <w:pPr>
        <w:spacing w:before="0" w:after="0" w:line="240" w:lineRule="auto"/>
      </w:pPr>
      <w:r>
        <w:continuationSeparator/>
      </w:r>
      <w:r/>
    </w:p>
  </w:footnote>
  <w:footnote w:id="2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 повышение стоимости заявки (цены Договора).</w:t>
      </w:r>
      <w:r/>
    </w:p>
  </w:footnote>
  <w:footnote w:id="3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Определенные в соответствии с Законом 422-ФЗ.</w:t>
      </w:r>
      <w:r/>
    </w:p>
  </w:footnote>
  <w:footnote w:id="4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При этом отклонение заявки за отсутствие в ней документов, требующихся исключительно для целей оценки и сопоставления заявок (подраздел </w:t>
      </w:r>
      <w:r>
        <w:fldChar w:fldCharType="begin"/>
      </w:r>
      <w:r>
        <w:instrText xml:space="preserve"> REF _Ref125362626 \w \h 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rPr>
          <w:b/>
          <w:bCs/>
        </w:rPr>
        <w:t xml:space="preserve">Error! Reference source not found.</w:t>
      </w:r>
      <w:r>
        <w:fldChar w:fldCharType="end"/>
      </w:r>
      <w:r>
        <w:t xml:space="preserve">.</w:t>
      </w:r>
      <w:r/>
    </w:p>
  </w:footnote>
  <w:footnote w:id="8">
    <w:p>
      <w:pPr>
        <w:pStyle w:val="959"/>
        <w:ind w:left="567" w:hanging="567"/>
        <w:jc w:val="both"/>
        <w:rPr>
          <w:sz w:val="22"/>
        </w:rPr>
      </w:pPr>
      <w:r>
        <w:rPr>
          <w:rStyle w:val="951"/>
        </w:rPr>
        <w:footnoteRef/>
      </w:r>
      <w:r>
        <w:rPr>
          <w:sz w:val="22"/>
        </w:rPr>
        <w:tab/>
      </w:r>
      <w:r>
        <w:rPr>
          <w:sz w:val="22"/>
        </w:rPr>
        <w:t xml:space="preserve">В отношении предоставляемой Участником (в целях обеспечения проведения оценки его финансового состо</w:t>
      </w:r>
      <w:r>
        <w:rPr>
          <w:sz w:val="22"/>
        </w:rPr>
        <w:t xml:space="preserve">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 допускается (все 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33"/>
      </w:pPr>
      <w:r>
        <w:rPr>
          <w:rStyle w:val="951"/>
        </w:rPr>
        <w:footnoteRef/>
      </w:r>
      <w:r>
        <w:tab/>
      </w:r>
      <w:bookmarkStart w:id="371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371"/>
      <w:r/>
      <w:r/>
    </w:p>
  </w:footnote>
  <w:footnote w:id="10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Во исполнение Указа Президента Российской Федерации от 03.05.2022 № 252 «О применении ответных специальных экономических мер в связи с 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Перед заключением договора Заказ</w:t>
      </w:r>
      <w:r>
        <w:t xml:space="preserve">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 подразделом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Если по результатам такой проверки Участник не</w:t>
      </w:r>
      <w:r>
        <w:t xml:space="preserve"> отвечает установленным требованиям, то он утрачивает статус Победителя, а 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left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4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6"/>
      <w:isLgl w:val="false"/>
      <w:suff w:val="tab"/>
      <w:lvlText w:val="%1.%2.%3.%4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7"/>
      <w:isLgl w:val="false"/>
      <w:suff w:val="tab"/>
      <w:lvlText w:val="%5)"/>
      <w:lvlJc w:val="left"/>
      <w:pPr>
        <w:ind w:left="5104" w:hanging="567"/>
        <w:tabs>
          <w:tab w:val="left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left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left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left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left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122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pStyle w:val="1123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pStyle w:val="1124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pStyle w:val="1125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pStyle w:val="1126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2"/>
  </w:num>
  <w:num w:numId="10">
    <w:abstractNumId w:val="7"/>
  </w:num>
  <w:num w:numId="11">
    <w:abstractNumId w:val="15"/>
  </w:num>
  <w:num w:numId="12">
    <w:abstractNumId w:val="5"/>
  </w:num>
  <w:num w:numId="13">
    <w:abstractNumId w:val="11"/>
  </w:num>
  <w:num w:numId="14">
    <w:abstractNumId w:val="6"/>
  </w:num>
  <w:num w:numId="15">
    <w:abstractNumId w:val="3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38" w:default="1">
    <w:name w:val="Normal"/>
    <w:uiPriority w:val="0"/>
    <w:qFormat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939">
    <w:name w:val="Heading 1"/>
    <w:basedOn w:val="938"/>
    <w:next w:val="938"/>
    <w:link w:val="1148"/>
    <w:uiPriority w:val="0"/>
    <w:pPr>
      <w:ind w:left="1134" w:hanging="1134"/>
      <w:keepLines/>
      <w:keepNext/>
      <w:pageBreakBefore/>
      <w:spacing w:before="480" w:after="240"/>
      <w:tabs>
        <w:tab w:val="left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940">
    <w:name w:val="Heading 2"/>
    <w:basedOn w:val="938"/>
    <w:next w:val="938"/>
    <w:link w:val="1149"/>
    <w:uiPriority w:val="0"/>
    <w:pPr>
      <w:ind w:left="2694" w:hanging="1134"/>
      <w:keepNext/>
      <w:spacing w:before="360" w:after="120"/>
      <w:tabs>
        <w:tab w:val="left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941">
    <w:name w:val="Heading 3"/>
    <w:basedOn w:val="938"/>
    <w:next w:val="938"/>
    <w:link w:val="1150"/>
    <w:uiPriority w:val="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942">
    <w:name w:val="Heading 4"/>
    <w:basedOn w:val="938"/>
    <w:next w:val="938"/>
    <w:link w:val="9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43">
    <w:name w:val="Heading 5"/>
    <w:basedOn w:val="938"/>
    <w:next w:val="938"/>
    <w:link w:val="9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44">
    <w:name w:val="Heading 6"/>
    <w:basedOn w:val="938"/>
    <w:next w:val="938"/>
    <w:link w:val="9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45">
    <w:name w:val="Heading 7"/>
    <w:basedOn w:val="938"/>
    <w:next w:val="938"/>
    <w:link w:val="9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938"/>
    <w:next w:val="938"/>
    <w:link w:val="9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47">
    <w:name w:val="Heading 9"/>
    <w:basedOn w:val="938"/>
    <w:next w:val="938"/>
    <w:link w:val="9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8" w:default="1">
    <w:name w:val="Default Paragraph Font"/>
    <w:uiPriority w:val="1"/>
    <w:semiHidden/>
    <w:unhideWhenUsed/>
  </w:style>
  <w:style w:type="table" w:styleId="949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950">
    <w:name w:val="FollowedHyperlink"/>
    <w:basedOn w:val="948"/>
    <w:uiPriority w:val="99"/>
    <w:semiHidden/>
    <w:unhideWhenUsed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51">
    <w:name w:val="footnote reference"/>
    <w:basedOn w:val="948"/>
    <w:uiPriority w:val="0"/>
    <w:unhideWhenUsed/>
    <w:rPr>
      <w:vertAlign w:val="superscript"/>
    </w:rPr>
  </w:style>
  <w:style w:type="character" w:styleId="952">
    <w:name w:val="annotation reference"/>
    <w:basedOn w:val="948"/>
    <w:uiPriority w:val="99"/>
    <w:unhideWhenUsed/>
    <w:rPr>
      <w:sz w:val="16"/>
      <w:szCs w:val="16"/>
    </w:rPr>
  </w:style>
  <w:style w:type="character" w:styleId="953">
    <w:name w:val="endnote reference"/>
    <w:basedOn w:val="948"/>
    <w:uiPriority w:val="99"/>
    <w:semiHidden/>
    <w:unhideWhenUsed/>
    <w:rPr>
      <w:vertAlign w:val="superscript"/>
    </w:rPr>
  </w:style>
  <w:style w:type="character" w:styleId="954">
    <w:name w:val="Hyperlink"/>
    <w:basedOn w:val="948"/>
    <w:uiPriority w:val="99"/>
    <w:unhideWhenUsed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55">
    <w:name w:val="endnote text"/>
    <w:basedOn w:val="938"/>
    <w:link w:val="1120"/>
    <w:uiPriority w:val="99"/>
    <w:semiHidden/>
    <w:unhideWhenUsed/>
    <w:pPr>
      <w:spacing w:after="0" w:line="240" w:lineRule="auto"/>
    </w:pPr>
    <w:rPr>
      <w:sz w:val="20"/>
    </w:rPr>
  </w:style>
  <w:style w:type="paragraph" w:styleId="956">
    <w:name w:val="Caption"/>
    <w:basedOn w:val="938"/>
    <w:next w:val="938"/>
    <w:link w:val="993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957">
    <w:name w:val="annotation text"/>
    <w:basedOn w:val="938"/>
    <w:link w:val="1138"/>
    <w:uiPriority w:val="99"/>
    <w:unhideWhenUsed/>
    <w:rPr>
      <w:sz w:val="20"/>
      <w:szCs w:val="20"/>
    </w:rPr>
  </w:style>
  <w:style w:type="paragraph" w:styleId="958">
    <w:name w:val="annotation subject"/>
    <w:basedOn w:val="957"/>
    <w:next w:val="957"/>
    <w:link w:val="1139"/>
    <w:uiPriority w:val="99"/>
    <w:semiHidden/>
    <w:unhideWhenUsed/>
    <w:rPr>
      <w:b/>
      <w:bCs/>
    </w:rPr>
  </w:style>
  <w:style w:type="paragraph" w:styleId="959">
    <w:name w:val="footnote text"/>
    <w:basedOn w:val="938"/>
    <w:link w:val="1132"/>
    <w:uiPriority w:val="99"/>
    <w:semiHidden/>
    <w:unhideWhenUsed/>
    <w:pPr>
      <w:spacing w:before="0"/>
    </w:pPr>
    <w:rPr>
      <w:sz w:val="20"/>
      <w:szCs w:val="20"/>
    </w:rPr>
  </w:style>
  <w:style w:type="paragraph" w:styleId="960">
    <w:name w:val="toc 8"/>
    <w:basedOn w:val="938"/>
    <w:next w:val="938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1">
    <w:name w:val="Header"/>
    <w:basedOn w:val="938"/>
    <w:link w:val="1129"/>
    <w:uiPriority w:val="99"/>
    <w:unhideWhenUsed/>
    <w:pPr>
      <w:jc w:val="center"/>
      <w:spacing w:before="0" w:after="120"/>
    </w:pPr>
  </w:style>
  <w:style w:type="paragraph" w:styleId="962">
    <w:name w:val="toc 9"/>
    <w:basedOn w:val="938"/>
    <w:next w:val="938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3">
    <w:name w:val="toc 7"/>
    <w:basedOn w:val="938"/>
    <w:next w:val="938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4">
    <w:name w:val="toc 1"/>
    <w:basedOn w:val="938"/>
    <w:next w:val="938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965">
    <w:name w:val="toc 6"/>
    <w:basedOn w:val="938"/>
    <w:next w:val="938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6">
    <w:name w:val="table of figures"/>
    <w:basedOn w:val="938"/>
    <w:next w:val="938"/>
    <w:uiPriority w:val="99"/>
    <w:unhideWhenUsed/>
    <w:pPr>
      <w:spacing w:after="0" w:afterAutospacing="0"/>
    </w:pPr>
  </w:style>
  <w:style w:type="paragraph" w:styleId="967">
    <w:name w:val="toc 3"/>
    <w:basedOn w:val="938"/>
    <w:next w:val="938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8">
    <w:name w:val="toc 2"/>
    <w:basedOn w:val="938"/>
    <w:next w:val="938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969">
    <w:name w:val="toc 4"/>
    <w:basedOn w:val="938"/>
    <w:next w:val="938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0">
    <w:name w:val="toc 5"/>
    <w:basedOn w:val="938"/>
    <w:next w:val="938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1">
    <w:name w:val="Title"/>
    <w:basedOn w:val="938"/>
    <w:next w:val="938"/>
    <w:link w:val="98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72">
    <w:name w:val="Footer"/>
    <w:basedOn w:val="938"/>
    <w:link w:val="1130"/>
    <w:uiPriority w:val="0"/>
    <w:unhideWhenUsed/>
    <w:pPr>
      <w:jc w:val="right"/>
    </w:pPr>
  </w:style>
  <w:style w:type="paragraph" w:styleId="973">
    <w:name w:val="Subtitle"/>
    <w:basedOn w:val="938"/>
    <w:next w:val="938"/>
    <w:link w:val="986"/>
    <w:uiPriority w:val="11"/>
    <w:qFormat/>
    <w:pPr>
      <w:spacing w:before="200" w:after="200"/>
    </w:pPr>
    <w:rPr>
      <w:sz w:val="24"/>
      <w:szCs w:val="24"/>
    </w:rPr>
  </w:style>
  <w:style w:type="table" w:styleId="974">
    <w:name w:val="Table Grid"/>
    <w:basedOn w:val="94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75" w:customStyle="1">
    <w:name w:val="Heading 1 Char"/>
    <w:basedOn w:val="948"/>
    <w:uiPriority w:val="9"/>
    <w:qFormat/>
    <w:rPr>
      <w:rFonts w:ascii="Arial" w:hAnsi="Arial" w:eastAsia="Arial" w:cs="Arial"/>
      <w:sz w:val="40"/>
      <w:szCs w:val="40"/>
    </w:rPr>
  </w:style>
  <w:style w:type="character" w:styleId="976" w:customStyle="1">
    <w:name w:val="Heading 2 Char"/>
    <w:basedOn w:val="948"/>
    <w:uiPriority w:val="9"/>
    <w:rPr>
      <w:rFonts w:ascii="Arial" w:hAnsi="Arial" w:eastAsia="Arial" w:cs="Arial"/>
      <w:sz w:val="34"/>
    </w:rPr>
  </w:style>
  <w:style w:type="character" w:styleId="977" w:customStyle="1">
    <w:name w:val="Heading 3 Char"/>
    <w:basedOn w:val="948"/>
    <w:uiPriority w:val="9"/>
    <w:qFormat/>
    <w:rPr>
      <w:rFonts w:ascii="Arial" w:hAnsi="Arial" w:eastAsia="Arial" w:cs="Arial"/>
      <w:sz w:val="30"/>
      <w:szCs w:val="30"/>
    </w:rPr>
  </w:style>
  <w:style w:type="character" w:styleId="978" w:customStyle="1">
    <w:name w:val="Heading 4 Char"/>
    <w:basedOn w:val="948"/>
    <w:link w:val="94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79" w:customStyle="1">
    <w:name w:val="Heading 5 Char"/>
    <w:basedOn w:val="948"/>
    <w:link w:val="94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80" w:customStyle="1">
    <w:name w:val="Heading 6 Char"/>
    <w:basedOn w:val="948"/>
    <w:link w:val="94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81" w:customStyle="1">
    <w:name w:val="Heading 7 Char"/>
    <w:basedOn w:val="948"/>
    <w:link w:val="9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82" w:customStyle="1">
    <w:name w:val="Heading 8 Char"/>
    <w:basedOn w:val="948"/>
    <w:link w:val="94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83" w:customStyle="1">
    <w:name w:val="Heading 9 Char"/>
    <w:basedOn w:val="948"/>
    <w:link w:val="947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984">
    <w:name w:val="No Spacing"/>
    <w:uiPriority w:val="1"/>
    <w:qFormat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character" w:styleId="985" w:customStyle="1">
    <w:name w:val="Title Char"/>
    <w:basedOn w:val="948"/>
    <w:link w:val="971"/>
    <w:uiPriority w:val="10"/>
    <w:qFormat/>
    <w:rPr>
      <w:sz w:val="48"/>
      <w:szCs w:val="48"/>
    </w:rPr>
  </w:style>
  <w:style w:type="character" w:styleId="986" w:customStyle="1">
    <w:name w:val="Subtitle Char"/>
    <w:basedOn w:val="948"/>
    <w:link w:val="973"/>
    <w:uiPriority w:val="11"/>
    <w:rPr>
      <w:sz w:val="24"/>
      <w:szCs w:val="24"/>
    </w:rPr>
  </w:style>
  <w:style w:type="paragraph" w:styleId="987">
    <w:name w:val="Quote"/>
    <w:basedOn w:val="938"/>
    <w:next w:val="938"/>
    <w:link w:val="988"/>
    <w:uiPriority w:val="29"/>
    <w:qFormat/>
    <w:pPr>
      <w:ind w:left="720" w:right="720"/>
    </w:pPr>
    <w:rPr>
      <w:i/>
    </w:rPr>
  </w:style>
  <w:style w:type="character" w:styleId="988" w:customStyle="1">
    <w:name w:val="Quote Char"/>
    <w:link w:val="987"/>
    <w:uiPriority w:val="29"/>
    <w:rPr>
      <w:i/>
    </w:rPr>
  </w:style>
  <w:style w:type="paragraph" w:styleId="989">
    <w:name w:val="Intense Quote"/>
    <w:basedOn w:val="938"/>
    <w:next w:val="938"/>
    <w:link w:val="9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0" w:customStyle="1">
    <w:name w:val="Intense Quote Char"/>
    <w:link w:val="989"/>
    <w:uiPriority w:val="30"/>
    <w:rPr>
      <w:i/>
    </w:rPr>
  </w:style>
  <w:style w:type="character" w:styleId="991" w:customStyle="1">
    <w:name w:val="Header Char"/>
    <w:basedOn w:val="948"/>
    <w:uiPriority w:val="99"/>
  </w:style>
  <w:style w:type="character" w:styleId="992" w:customStyle="1">
    <w:name w:val="Footer Char"/>
    <w:basedOn w:val="948"/>
    <w:uiPriority w:val="99"/>
  </w:style>
  <w:style w:type="character" w:styleId="993" w:customStyle="1">
    <w:name w:val="Caption Char"/>
    <w:basedOn w:val="948"/>
    <w:link w:val="956"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table" w:styleId="994" w:customStyle="1">
    <w:name w:val="Table Grid Light"/>
    <w:basedOn w:val="94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5" w:customStyle="1">
    <w:name w:val="Plain Table 1"/>
    <w:basedOn w:val="94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6" w:customStyle="1">
    <w:name w:val="Plain Table 2"/>
    <w:basedOn w:val="94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7" w:customStyle="1">
    <w:name w:val="Plain Table 3"/>
    <w:basedOn w:val="949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8" w:customStyle="1">
    <w:name w:val="Plain Table 4"/>
    <w:basedOn w:val="949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Plain Table 5"/>
    <w:basedOn w:val="949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1 Light"/>
    <w:basedOn w:val="949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Grid Table 1 Light - Accent 1"/>
    <w:basedOn w:val="949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Grid Table 1 Light - Accent 2"/>
    <w:basedOn w:val="94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Grid Table 1 Light - Accent 3"/>
    <w:basedOn w:val="94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Grid Table 1 Light - Accent 4"/>
    <w:basedOn w:val="94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Grid Table 1 Light - Accent 5"/>
    <w:basedOn w:val="949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Grid Table 1 Light - Accent 6"/>
    <w:basedOn w:val="94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Grid Table 2"/>
    <w:basedOn w:val="94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96969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96969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Grid Table 2 - Accent 1"/>
    <w:basedOn w:val="949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Grid Table 2 - Accent 2"/>
    <w:basedOn w:val="94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28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Grid Table 2 - Accent 3"/>
    <w:basedOn w:val="94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Grid Table 2 - Accent 4"/>
    <w:basedOn w:val="94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2 - Accent 5"/>
    <w:basedOn w:val="949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2 - Accent 6"/>
    <w:basedOn w:val="94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3"/>
    <w:basedOn w:val="94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Grid Table 3 - Accent 1"/>
    <w:basedOn w:val="949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Grid Table 3 - Accent 2"/>
    <w:basedOn w:val="94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3 - Accent 3"/>
    <w:basedOn w:val="94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3 - Accent 4"/>
    <w:basedOn w:val="94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3 - Accent 5"/>
    <w:basedOn w:val="949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3 - Accent 6"/>
    <w:basedOn w:val="94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4"/>
    <w:basedOn w:val="949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2" w:customStyle="1">
    <w:name w:val="Grid Table 4 - Accent 1"/>
    <w:basedOn w:val="949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1023" w:customStyle="1">
    <w:name w:val="Grid Table 4 - Accent 2"/>
    <w:basedOn w:val="949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</w:style>
  <w:style w:type="table" w:styleId="1024" w:customStyle="1">
    <w:name w:val="Grid Table 4 - Accent 3"/>
    <w:basedOn w:val="949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25" w:customStyle="1">
    <w:name w:val="Grid Table 4 - Accent 4"/>
    <w:basedOn w:val="949"/>
    <w:uiPriority w:val="59"/>
    <w:qFormat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</w:style>
  <w:style w:type="table" w:styleId="1026" w:customStyle="1">
    <w:name w:val="Grid Table 4 - Accent 5"/>
    <w:basedOn w:val="949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27" w:customStyle="1">
    <w:name w:val="Grid Table 4 - Accent 6"/>
    <w:basedOn w:val="949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28" w:customStyle="1">
    <w:name w:val="Grid Table 5 Dark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98989" w:themeColor="text1" w:themeTint="75" w:fill="898989" w:themeFill="text1" w:themeFillTint="75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29" w:customStyle="1">
    <w:name w:val="Grid Table 5 Dark- Accent 1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3" w:themeColor="accent1" w:themeTint="75" w:fill="a9bee3" w:themeFill="accent1" w:themeFillTint="75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1030" w:customStyle="1">
    <w:name w:val="Grid Table 5 Dark - Accent 2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31" w:customStyle="1">
    <w:name w:val="Grid Table 5 Dark - Accent 3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32" w:customStyle="1">
    <w:name w:val="Grid Table 5 Dark- Accent 4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ee289" w:themeColor="accent4" w:themeTint="75" w:fill="fee289" w:themeFill="accent4" w:themeFillTint="75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33" w:customStyle="1">
    <w:name w:val="Grid Table 5 Dark - Accent 5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1eb" w:themeColor="accent5" w:themeTint="75" w:fill="b3d1eb" w:themeFill="accent5" w:themeFillTint="7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1034" w:customStyle="1">
    <w:name w:val="Grid Table 5 Dark - Accent 6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35" w:customStyle="1">
    <w:name w:val="Grid Table 6 Colorful"/>
    <w:basedOn w:val="949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styleId="1036" w:customStyle="1">
    <w:name w:val="Grid Table 6 Colorful - Accent 1"/>
    <w:basedOn w:val="949"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styleId="1037" w:customStyle="1">
    <w:name w:val="Grid Table 6 Colorful - Accent 2"/>
    <w:basedOn w:val="949"/>
    <w:uiPriority w:val="99"/>
    <w:qFormat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styleId="1038" w:customStyle="1">
    <w:name w:val="Grid Table 6 Colorful - Accent 3"/>
    <w:basedOn w:val="949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styleId="1039" w:customStyle="1">
    <w:name w:val="Grid Table 6 Colorful - Accent 4"/>
    <w:basedOn w:val="94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styleId="1040" w:customStyle="1">
    <w:name w:val="Grid Table 6 Colorful - Accent 5"/>
    <w:basedOn w:val="949"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41" w:customStyle="1">
    <w:name w:val="Grid Table 6 Colorful - Accent 6"/>
    <w:basedOn w:val="949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42" w:customStyle="1">
    <w:name w:val="Grid Table 7 Colorful"/>
    <w:basedOn w:val="94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Grid Table 7 Colorful - Accent 1"/>
    <w:basedOn w:val="949"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1" w:themeColor="accent1" w:themeTint="80" w:sz="4" w:space="0"/>
        </w:tcBorders>
      </w:tcPr>
    </w:tblStyle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1B8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1B8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Grid Table 7 Colorful - Accent 2"/>
    <w:basedOn w:val="94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Grid Table 7 Colorful - Accent 3"/>
    <w:basedOn w:val="94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Grid Table 7 Colorful - Accent 4"/>
    <w:basedOn w:val="94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7 Colorful - Accent 5"/>
    <w:basedOn w:val="949"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rFonts w:ascii="Arial" w:hAnsi="Arial"/>
        <w:i/>
        <w:color w:val="245b8c" w:themeColor="accent5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7 Colorful - Accent 6"/>
    <w:basedOn w:val="949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  <w:tblStylePr w:type="firstCol">
      <w:rPr>
        <w:rFonts w:ascii="Arial" w:hAnsi="Arial"/>
        <w:i/>
        <w:color w:val="416429" w:themeColor="accent6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1 Light"/>
    <w:basedOn w:val="949"/>
    <w:uiPriority w:val="99"/>
    <w:pPr>
      <w:spacing w:after="0" w:line="240" w:lineRule="auto"/>
    </w:pPr>
    <w:tblPr/>
    <w:tblStylePr w:type="band1Horz"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List Table 1 Light - Accent 1"/>
    <w:basedOn w:val="949"/>
    <w:uiPriority w:val="99"/>
    <w:pPr>
      <w:spacing w:after="0" w:line="240" w:lineRule="auto"/>
    </w:pPr>
    <w:tblPr/>
    <w:tblStylePr w:type="band1Horz"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List Table 1 Light - Accent 2"/>
    <w:basedOn w:val="949"/>
    <w:uiPriority w:val="99"/>
    <w:pPr>
      <w:spacing w:after="0" w:line="240" w:lineRule="auto"/>
    </w:pPr>
    <w:tblPr/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st Table 1 Light - Accent 3"/>
    <w:basedOn w:val="949"/>
    <w:uiPriority w:val="99"/>
    <w:pPr>
      <w:spacing w:after="0" w:line="240" w:lineRule="auto"/>
    </w:pPr>
    <w:tblPr/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List Table 1 Light - Accent 4"/>
    <w:basedOn w:val="949"/>
    <w:uiPriority w:val="99"/>
    <w:pPr>
      <w:spacing w:after="0" w:line="240" w:lineRule="auto"/>
    </w:pPr>
    <w:tblPr/>
    <w:tblStylePr w:type="band1Horz"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List Table 1 Light - Accent 5"/>
    <w:basedOn w:val="949"/>
    <w:uiPriority w:val="99"/>
    <w:pPr>
      <w:spacing w:after="0" w:line="240" w:lineRule="auto"/>
    </w:pPr>
    <w:tblPr/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List Table 1 Light - Accent 6"/>
    <w:basedOn w:val="949"/>
    <w:uiPriority w:val="99"/>
    <w:pPr>
      <w:spacing w:after="0" w:line="240" w:lineRule="auto"/>
    </w:pPr>
    <w:tblPr/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List Table 2"/>
    <w:basedOn w:val="949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</w:style>
  <w:style w:type="table" w:styleId="1057" w:customStyle="1">
    <w:name w:val="List Table 2 - Accent 1"/>
    <w:basedOn w:val="949"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58" w:customStyle="1">
    <w:name w:val="List Table 2 - Accent 2"/>
    <w:basedOn w:val="949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59" w:customStyle="1">
    <w:name w:val="List Table 2 - Accent 3"/>
    <w:basedOn w:val="949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60" w:customStyle="1">
    <w:name w:val="List Table 2 - Accent 4"/>
    <w:basedOn w:val="949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</w:style>
  <w:style w:type="table" w:styleId="1061" w:customStyle="1">
    <w:name w:val="List Table 2 - Accent 5"/>
    <w:basedOn w:val="949"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62" w:customStyle="1">
    <w:name w:val="List Table 2 - Accent 6"/>
    <w:basedOn w:val="949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63" w:customStyle="1">
    <w:name w:val="List Table 3"/>
    <w:basedOn w:val="94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 w:customStyle="1">
    <w:name w:val="List Table 3 - Accent 1"/>
    <w:basedOn w:val="949"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 w:customStyle="1">
    <w:name w:val="List Table 3 - Accent 2"/>
    <w:basedOn w:val="94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 w:customStyle="1">
    <w:name w:val="List Table 3 - Accent 3"/>
    <w:basedOn w:val="949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 w:customStyle="1">
    <w:name w:val="List Table 3 - Accent 4"/>
    <w:basedOn w:val="94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 w:customStyle="1">
    <w:name w:val="List Table 3 - Accent 5"/>
    <w:basedOn w:val="949"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 w:customStyle="1">
    <w:name w:val="List Table 3 - Accent 6"/>
    <w:basedOn w:val="949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 w:customStyle="1">
    <w:name w:val="List Table 4"/>
    <w:basedOn w:val="94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 w:customStyle="1">
    <w:name w:val="List Table 4 - Accent 1"/>
    <w:basedOn w:val="949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 w:customStyle="1">
    <w:name w:val="List Table 4 - Accent 2"/>
    <w:basedOn w:val="949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 w:customStyle="1">
    <w:name w:val="List Table 4 - Accent 3"/>
    <w:basedOn w:val="949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 w:customStyle="1">
    <w:name w:val="List Table 4 - Accent 4"/>
    <w:basedOn w:val="949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 w:customStyle="1">
    <w:name w:val="List Table 4 - Accent 5"/>
    <w:basedOn w:val="949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 w:customStyle="1">
    <w:name w:val="List Table 4 - Accent 6"/>
    <w:basedOn w:val="949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 w:customStyle="1">
    <w:name w:val="List Table 5 Dark"/>
    <w:basedOn w:val="949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band1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e7e7e" w:themeColor="text1" w:themeTint="80" w:fill="7e7e7e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7e7e7e" w:themeColor="text1" w:themeTint="80" w:fill="7e7e7e" w:themeFill="text1" w:themeFillTint="80"/>
        <w:tcBorders>
          <w:top w:val="single" w:color="7E7E7E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78" w:customStyle="1">
    <w:name w:val="List Table 5 Dark - Accent 1"/>
    <w:basedOn w:val="949"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79" w:customStyle="1">
    <w:name w:val="List Table 5 Dark - Accent 2"/>
    <w:basedOn w:val="949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band1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285" w:themeColor="accent2" w:themeTint="97" w:fill="f4b28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0" w:customStyle="1">
    <w:name w:val="List Table 5 Dark - Accent 3"/>
    <w:basedOn w:val="949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1" w:customStyle="1">
    <w:name w:val="List Table 5 Dark - Accent 4"/>
    <w:basedOn w:val="949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band1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4" w:themeColor="accent4" w:themeTint="9A" w:fill="ffd86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2" w:customStyle="1">
    <w:name w:val="List Table 5 Dark - Accent 5"/>
    <w:basedOn w:val="949"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3" w:customStyle="1">
    <w:name w:val="List Table 5 Dark - Accent 6"/>
    <w:basedOn w:val="949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4" w:customStyle="1">
    <w:name w:val="List Table 6 Colorful"/>
    <w:basedOn w:val="949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</w:style>
  <w:style w:type="table" w:styleId="1085" w:customStyle="1">
    <w:name w:val="List Table 6 Colorful - Accent 1"/>
    <w:basedOn w:val="949"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b/>
        <w:color w:val="254174" w:themeColor="accent1" w:themeShade="94"/>
      </w:rPr>
    </w:tblStyle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4" w:themeColor="accent1" w:themeShade="94"/>
      </w:r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</w:style>
  <w:style w:type="table" w:styleId="1086" w:customStyle="1">
    <w:name w:val="List Table 6 Colorful - Accent 2"/>
    <w:basedOn w:val="949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</w:style>
  <w:style w:type="table" w:styleId="1087" w:customStyle="1">
    <w:name w:val="List Table 6 Colorful - Accent 3"/>
    <w:basedOn w:val="949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</w:style>
  <w:style w:type="table" w:styleId="1088" w:customStyle="1">
    <w:name w:val="List Table 6 Colorful - Accent 4"/>
    <w:basedOn w:val="949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</w:style>
  <w:style w:type="table" w:styleId="1089" w:customStyle="1">
    <w:name w:val="List Table 6 Colorful - Accent 5"/>
    <w:basedOn w:val="949"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</w:style>
  <w:style w:type="table" w:styleId="1090" w:customStyle="1">
    <w:name w:val="List Table 6 Colorful - Accent 6"/>
    <w:basedOn w:val="949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</w:style>
  <w:style w:type="table" w:styleId="1091" w:customStyle="1">
    <w:name w:val="List Table 7 Colorful"/>
    <w:basedOn w:val="94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 w:customStyle="1">
    <w:name w:val="List Table 7 Colorful - Accent 1"/>
    <w:basedOn w:val="949"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rFonts w:ascii="Arial" w:hAnsi="Arial"/>
        <w:i/>
        <w:color w:val="254174" w:themeColor="accent1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 w:customStyle="1">
    <w:name w:val="List Table 7 Colorful - Accent 2"/>
    <w:basedOn w:val="949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List Table 7 Colorful - Accent 3"/>
    <w:basedOn w:val="949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 w:customStyle="1">
    <w:name w:val="List Table 7 Colorful - Accent 4"/>
    <w:basedOn w:val="949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 w:customStyle="1">
    <w:name w:val="List Table 7 Colorful - Accent 5"/>
    <w:basedOn w:val="949"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 w:customStyle="1">
    <w:name w:val="List Table 7 Colorful - Accent 6"/>
    <w:basedOn w:val="949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 w:customStyle="1">
    <w:name w:val="Lined - Accent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099" w:customStyle="1">
    <w:name w:val="Lined - Accent 1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00" w:customStyle="1">
    <w:name w:val="Lined - Accent 2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101" w:customStyle="1">
    <w:name w:val="Lined - Accent 3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02" w:customStyle="1">
    <w:name w:val="Lined - Accent 4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103" w:customStyle="1">
    <w:name w:val="Lined - Accent 5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04" w:customStyle="1">
    <w:name w:val="Lined - Accent 6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05" w:customStyle="1">
    <w:name w:val="Bordered &amp; Lined - Accent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106" w:customStyle="1">
    <w:name w:val="Bordered &amp; Lined - Accent 1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07" w:customStyle="1">
    <w:name w:val="Bordered &amp; Lined - Accent 2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108" w:customStyle="1">
    <w:name w:val="Bordered &amp; Lined - Accent 3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09" w:customStyle="1">
    <w:name w:val="Bordered &amp; Lined - Accent 4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110" w:customStyle="1">
    <w:name w:val="Bordered &amp; Lined - Accent 5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11" w:customStyle="1">
    <w:name w:val="Bordered &amp; Lined - Accent 6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12" w:customStyle="1">
    <w:name w:val="Bordered"/>
    <w:basedOn w:val="949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</w:style>
  <w:style w:type="table" w:styleId="1113" w:customStyle="1">
    <w:name w:val="Bordered - Accent 1"/>
    <w:basedOn w:val="949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14" w:customStyle="1">
    <w:name w:val="Bordered - Accent 2"/>
    <w:basedOn w:val="94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</w:style>
  <w:style w:type="table" w:styleId="1115" w:customStyle="1">
    <w:name w:val="Bordered - Accent 3"/>
    <w:basedOn w:val="94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16" w:customStyle="1">
    <w:name w:val="Bordered - Accent 4"/>
    <w:basedOn w:val="94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</w:style>
  <w:style w:type="table" w:styleId="1117" w:customStyle="1">
    <w:name w:val="Bordered - Accent 5"/>
    <w:basedOn w:val="949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118" w:customStyle="1">
    <w:name w:val="Bordered - Accent 6"/>
    <w:basedOn w:val="94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119" w:customStyle="1">
    <w:name w:val="Footnote Text Char"/>
    <w:uiPriority w:val="99"/>
    <w:rPr>
      <w:sz w:val="18"/>
    </w:rPr>
  </w:style>
  <w:style w:type="character" w:styleId="1120" w:customStyle="1">
    <w:name w:val="Endnote Text Char"/>
    <w:link w:val="955"/>
    <w:uiPriority w:val="99"/>
    <w:rPr>
      <w:sz w:val="20"/>
    </w:rPr>
  </w:style>
  <w:style w:type="paragraph" w:styleId="1121" w:customStyle="1">
    <w:name w:val="TOC Heading"/>
    <w:uiPriority w:val="39"/>
    <w:unhideWhenUsed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22" w:customStyle="1">
    <w:name w:val="[РГ] Раздел"/>
    <w:basedOn w:val="938"/>
    <w:next w:val="1123"/>
    <w:uiPriority w:val="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23" w:customStyle="1">
    <w:name w:val="[РГ] Подраздел"/>
    <w:basedOn w:val="938"/>
    <w:next w:val="1124"/>
    <w:uiPriority w:val="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24" w:customStyle="1">
    <w:name w:val="[РГ] Пункт"/>
    <w:basedOn w:val="938"/>
    <w:uiPriority w:val="0"/>
    <w:qFormat/>
    <w:pPr>
      <w:numPr>
        <w:ilvl w:val="2"/>
        <w:numId w:val="1"/>
      </w:numPr>
      <w:jc w:val="both"/>
      <w:outlineLvl w:val="2"/>
    </w:pPr>
  </w:style>
  <w:style w:type="paragraph" w:styleId="1125" w:customStyle="1">
    <w:name w:val="[РГ] Подпункт"/>
    <w:basedOn w:val="938"/>
    <w:uiPriority w:val="0"/>
    <w:qFormat/>
    <w:pPr>
      <w:numPr>
        <w:ilvl w:val="3"/>
        <w:numId w:val="1"/>
      </w:numPr>
      <w:jc w:val="both"/>
      <w:outlineLvl w:val="3"/>
    </w:pPr>
  </w:style>
  <w:style w:type="paragraph" w:styleId="1126" w:customStyle="1">
    <w:name w:val="[РГ] Перечисление"/>
    <w:basedOn w:val="938"/>
    <w:uiPriority w:val="0"/>
    <w:qFormat/>
    <w:pPr>
      <w:numPr>
        <w:ilvl w:val="4"/>
        <w:numId w:val="1"/>
      </w:numPr>
      <w:jc w:val="both"/>
      <w:outlineLvl w:val="4"/>
    </w:pPr>
  </w:style>
  <w:style w:type="paragraph" w:styleId="1127" w:customStyle="1">
    <w:name w:val="[РГ] Заголовок"/>
    <w:basedOn w:val="938"/>
    <w:next w:val="1128"/>
    <w:uiPriority w:val="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28" w:customStyle="1">
    <w:name w:val="[РГ] Текст"/>
    <w:basedOn w:val="938"/>
    <w:uiPriority w:val="0"/>
    <w:qFormat/>
    <w:pPr>
      <w:jc w:val="both"/>
    </w:pPr>
  </w:style>
  <w:style w:type="character" w:styleId="1129" w:customStyle="1">
    <w:name w:val="Верхний колонтитул Знак"/>
    <w:basedOn w:val="948"/>
    <w:link w:val="961"/>
    <w:uiPriority w:val="99"/>
  </w:style>
  <w:style w:type="character" w:styleId="1130" w:customStyle="1">
    <w:name w:val="Нижний колонтитул Знак"/>
    <w:basedOn w:val="948"/>
    <w:link w:val="972"/>
    <w:uiPriority w:val="99"/>
  </w:style>
  <w:style w:type="character" w:styleId="1131" w:customStyle="1">
    <w:name w:val="[РГ] Инструкция для организатора"/>
    <w:basedOn w:val="948"/>
    <w:uiPriority w:val="1"/>
    <w:qFormat/>
    <w:rPr>
      <w:i/>
      <w:iCs/>
      <w:shd w:val="clear" w:color="auto" w:fill="ffff99"/>
      <w:lang w:val="ru-RU"/>
    </w:rPr>
  </w:style>
  <w:style w:type="character" w:styleId="1132" w:customStyle="1">
    <w:name w:val="Текст сноски Знак"/>
    <w:basedOn w:val="948"/>
    <w:link w:val="959"/>
    <w:uiPriority w:val="99"/>
    <w:semiHidden/>
    <w:rPr>
      <w:sz w:val="20"/>
      <w:szCs w:val="20"/>
    </w:rPr>
  </w:style>
  <w:style w:type="paragraph" w:styleId="1133" w:customStyle="1">
    <w:name w:val="[РГ] Сноска"/>
    <w:basedOn w:val="959"/>
    <w:uiPriority w:val="0"/>
    <w:qFormat/>
    <w:pPr>
      <w:ind w:left="567" w:hanging="567"/>
      <w:jc w:val="both"/>
      <w:spacing w:before="80"/>
    </w:pPr>
    <w:rPr>
      <w:sz w:val="22"/>
    </w:rPr>
  </w:style>
  <w:style w:type="character" w:styleId="1134" w:customStyle="1">
    <w:name w:val="Unresolved Mention"/>
    <w:basedOn w:val="948"/>
    <w:uiPriority w:val="99"/>
    <w:semiHidden/>
    <w:unhideWhenUsed/>
    <w:rPr>
      <w:color w:val="605e5c"/>
      <w:shd w:val="clear" w:color="auto" w:fill="e1dfdd"/>
    </w:rPr>
  </w:style>
  <w:style w:type="table" w:styleId="1135" w:customStyle="1">
    <w:name w:val="[РГ] Таблица"/>
    <w:basedOn w:val="949"/>
    <w:uiPriority w:val="99"/>
    <w:pPr>
      <w:spacing w:before="60" w:after="60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1136">
    <w:name w:val="Placeholder Text"/>
    <w:basedOn w:val="948"/>
    <w:uiPriority w:val="99"/>
    <w:semiHidden/>
    <w:rPr>
      <w:color w:val="808080"/>
    </w:rPr>
  </w:style>
  <w:style w:type="character" w:styleId="1137" w:customStyle="1">
    <w:name w:val="[РГ] Отсылка"/>
    <w:basedOn w:val="94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8" w:customStyle="1">
    <w:name w:val="Текст примечания Знак"/>
    <w:basedOn w:val="948"/>
    <w:link w:val="957"/>
    <w:uiPriority w:val="99"/>
    <w:rPr>
      <w:sz w:val="20"/>
      <w:szCs w:val="20"/>
    </w:rPr>
  </w:style>
  <w:style w:type="character" w:styleId="1139" w:customStyle="1">
    <w:name w:val="Тема примечания Знак"/>
    <w:basedOn w:val="1138"/>
    <w:link w:val="958"/>
    <w:uiPriority w:val="99"/>
    <w:semiHidden/>
    <w:rPr>
      <w:b/>
      <w:bCs/>
      <w:sz w:val="20"/>
      <w:szCs w:val="20"/>
    </w:rPr>
  </w:style>
  <w:style w:type="paragraph" w:styleId="1140" w:customStyle="1">
    <w:name w:val="[РГ] Альтернатива / Дополнение"/>
    <w:basedOn w:val="1128"/>
    <w:next w:val="1128"/>
    <w:uiPriority w:val="0"/>
    <w:qFormat/>
    <w:rPr>
      <w:i/>
      <w:shd w:val="clear" w:color="auto" w:fill="ccecff"/>
    </w:rPr>
  </w:style>
  <w:style w:type="character" w:styleId="1141" w:customStyle="1">
    <w:name w:val="[РГ] Инструкция для участника"/>
    <w:basedOn w:val="94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2" w:customStyle="1">
    <w:name w:val="Revision"/>
    <w:hidden/>
    <w:uiPriority w:val="99"/>
    <w:semiHidden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43">
    <w:name w:val="List Paragraph"/>
    <w:basedOn w:val="938"/>
    <w:uiPriority w:val="34"/>
    <w:qFormat/>
    <w:pPr>
      <w:contextualSpacing/>
      <w:ind w:left="720"/>
    </w:pPr>
  </w:style>
  <w:style w:type="paragraph" w:styleId="1144" w:customStyle="1">
    <w:name w:val="Пункт"/>
    <w:basedOn w:val="938"/>
    <w:link w:val="1145"/>
    <w:uiPriority w:val="0"/>
    <w:pPr>
      <w:numPr>
        <w:ilvl w:val="2"/>
        <w:numId w:val="2"/>
      </w:numPr>
      <w:jc w:val="both"/>
    </w:pPr>
    <w:rPr>
      <w:rFonts w:eastAsia="Times New Roman" w:cs="Times New Roman"/>
      <w:szCs w:val="26"/>
      <w:lang w:eastAsia="ru-RU"/>
    </w:rPr>
  </w:style>
  <w:style w:type="character" w:styleId="1145" w:customStyle="1">
    <w:name w:val="Пункт Знак2"/>
    <w:link w:val="1144"/>
    <w:uiPriority w:val="0"/>
    <w:rPr>
      <w:rFonts w:eastAsia="Times New Roman" w:cs="Times New Roman"/>
      <w:szCs w:val="26"/>
      <w:lang w:eastAsia="ru-RU"/>
    </w:rPr>
  </w:style>
  <w:style w:type="paragraph" w:styleId="1146" w:customStyle="1">
    <w:name w:val="Подпункт"/>
    <w:basedOn w:val="1144"/>
    <w:uiPriority w:val="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7" w:customStyle="1">
    <w:name w:val="Подподпункт"/>
    <w:basedOn w:val="1146"/>
    <w:uiPriority w:val="0"/>
    <w:pPr>
      <w:numPr>
        <w:ilvl w:val="4"/>
      </w:numPr>
      <w:ind w:left="3600" w:hanging="360"/>
    </w:pPr>
  </w:style>
  <w:style w:type="character" w:styleId="1148" w:customStyle="1">
    <w:name w:val="Заголовок 1 Знак"/>
    <w:basedOn w:val="948"/>
    <w:link w:val="939"/>
    <w:uiPriority w:val="0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9" w:customStyle="1">
    <w:name w:val="Заголовок 2 Знак"/>
    <w:basedOn w:val="948"/>
    <w:link w:val="940"/>
    <w:uiPriority w:val="0"/>
    <w:rPr>
      <w:rFonts w:eastAsia="Times New Roman" w:cs="Times New Roman"/>
      <w:b/>
      <w:sz w:val="32"/>
      <w:szCs w:val="26"/>
      <w:lang w:eastAsia="ru-RU"/>
    </w:rPr>
  </w:style>
  <w:style w:type="character" w:styleId="1150" w:customStyle="1">
    <w:name w:val="Заголовок 3 Знак"/>
    <w:basedOn w:val="948"/>
    <w:link w:val="941"/>
    <w:uiPriority w:val="0"/>
    <w:semiHidden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numbering" w:styleId="1151" w:default="1">
    <w:name w:val="No List"/>
    <w:uiPriority w:val="99"/>
    <w:semiHidden/>
    <w:unhideWhenUsed/>
  </w:style>
  <w:style w:type="paragraph" w:styleId="1152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3" w:customStyle="1">
    <w:name w:val="комментарий"/>
    <w:rPr>
      <w:b/>
      <w:i/>
      <w:shd w:val="clear" w:color="auto" w:fill="ffff99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s://www.roseltorg.ru/knowledge_db/docs?55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malyutina-en@dgk.ru" TargetMode="External"/><Relationship Id="rId18" Type="http://schemas.openxmlformats.org/officeDocument/2006/relationships/hyperlink" Target="mailto:malyutina-en@dgk.ru" TargetMode="External"/><Relationship Id="rId19" Type="http://schemas.openxmlformats.org/officeDocument/2006/relationships/hyperlink" Target="http://kilina-ns@dgk.ru" TargetMode="External"/><Relationship Id="rId20" Type="http://schemas.openxmlformats.org/officeDocument/2006/relationships/image" Target="media/image2.png"/><Relationship Id="rId21" Type="http://schemas.openxmlformats.org/officeDocument/2006/relationships/image" Target="media/media1.svg"/><Relationship Id="rId22" Type="http://schemas.openxmlformats.org/officeDocument/2006/relationships/image" Target="media/image3.png"/><Relationship Id="rId23" Type="http://schemas.openxmlformats.org/officeDocument/2006/relationships/image" Target="media/media2.svg"/><Relationship Id="rId24" Type="http://schemas.openxmlformats.org/officeDocument/2006/relationships/image" Target="media/image4.png"/><Relationship Id="rId25" Type="http://schemas.openxmlformats.org/officeDocument/2006/relationships/image" Target="media/media3.svg"/><Relationship Id="rId26" Type="http://schemas.openxmlformats.org/officeDocument/2006/relationships/image" Target="media/image5.png"/><Relationship Id="rId27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cp:lastModifiedBy>malyutina_en</cp:lastModifiedBy>
  <cp:revision>158</cp:revision>
  <dcterms:created xsi:type="dcterms:W3CDTF">2023-08-16T07:54:00Z</dcterms:created>
  <dcterms:modified xsi:type="dcterms:W3CDTF">2026-03-24T05:55:25Z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1A030E9D581A447DB711C560194B9BAD_12</vt:lpwstr>
  </property>
</Properties>
</file>